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sz w:val="56"/>
          <w:szCs w:val="36"/>
          <w:lang w:val="en-US" w:eastAsia="zh-CN"/>
        </w:rPr>
      </w:pPr>
      <w:bookmarkStart w:id="0" w:name="_Toc25234"/>
      <w:bookmarkStart w:id="1" w:name="_Toc15833"/>
      <w:bookmarkStart w:id="2" w:name="_Toc2223"/>
      <w:bookmarkStart w:id="3" w:name="_Toc25891"/>
      <w:bookmarkStart w:id="4" w:name="_Toc30751"/>
      <w:bookmarkStart w:id="5" w:name="_Toc8257"/>
      <w:bookmarkStart w:id="6" w:name="_Toc22604"/>
      <w:bookmarkStart w:id="7" w:name="_Toc16045"/>
      <w:r>
        <w:rPr>
          <w:rFonts w:hint="eastAsia"/>
          <w:sz w:val="56"/>
          <w:szCs w:val="36"/>
          <w:lang w:val="en-US" w:eastAsia="zh-CN"/>
        </w:rPr>
        <w:t>滨州市</w:t>
      </w:r>
      <w:bookmarkEnd w:id="0"/>
      <w:bookmarkEnd w:id="1"/>
      <w:bookmarkEnd w:id="2"/>
      <w:bookmarkEnd w:id="3"/>
      <w:bookmarkStart w:id="8" w:name="_Toc28868"/>
      <w:bookmarkStart w:id="9" w:name="_Toc10228"/>
      <w:bookmarkStart w:id="10" w:name="_Toc24878"/>
      <w:bookmarkStart w:id="11" w:name="_Toc7323"/>
      <w:r>
        <w:rPr>
          <w:rFonts w:hint="eastAsia"/>
          <w:sz w:val="56"/>
          <w:szCs w:val="36"/>
          <w:lang w:val="en-US" w:eastAsia="zh-CN"/>
        </w:rPr>
        <w:t>渤海英才服务卡系统</w:t>
      </w:r>
      <w:bookmarkEnd w:id="4"/>
    </w:p>
    <w:p>
      <w:pPr>
        <w:pStyle w:val="2"/>
        <w:bidi w:val="0"/>
        <w:jc w:val="center"/>
        <w:rPr>
          <w:rFonts w:hint="default"/>
          <w:sz w:val="56"/>
          <w:szCs w:val="36"/>
          <w:lang w:val="en-US" w:eastAsia="zh-CN"/>
        </w:rPr>
      </w:pPr>
      <w:bookmarkStart w:id="12" w:name="_Toc17524"/>
      <w:r>
        <w:rPr>
          <w:rFonts w:hint="eastAsia"/>
          <w:sz w:val="56"/>
          <w:szCs w:val="36"/>
          <w:lang w:val="en-US" w:eastAsia="zh-CN"/>
        </w:rPr>
        <w:t>操作手册</w:t>
      </w:r>
      <w:bookmarkEnd w:id="8"/>
      <w:bookmarkEnd w:id="9"/>
      <w:bookmarkEnd w:id="10"/>
      <w:bookmarkEnd w:id="11"/>
      <w:r>
        <w:rPr>
          <w:rFonts w:hint="eastAsia"/>
          <w:sz w:val="56"/>
          <w:szCs w:val="36"/>
          <w:lang w:val="en-US" w:eastAsia="zh-CN"/>
        </w:rPr>
        <w:t>-单位篇</w:t>
      </w:r>
      <w:bookmarkEnd w:id="5"/>
      <w:bookmarkEnd w:id="6"/>
      <w:bookmarkEnd w:id="7"/>
      <w:bookmarkEnd w:id="12"/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sz w:val="56"/>
          <w:szCs w:val="36"/>
          <w:lang w:val="en-US" w:eastAsia="zh-CN"/>
        </w:rPr>
        <w:t>V1.1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滨州市人力资源和社会保障局</w:t>
      </w:r>
    </w:p>
    <w:p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山大地纬软件股份有限公司</w:t>
      </w:r>
    </w:p>
    <w:p>
      <w:pPr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2020年8月</w:t>
      </w:r>
    </w:p>
    <w:p>
      <w:pPr>
        <w:widowControl w:val="0"/>
        <w:pBdr>
          <w:top w:val="single" w:color="auto" w:sz="6" w:space="13"/>
        </w:pBdr>
        <w:overflowPunct/>
        <w:autoSpaceDE/>
        <w:autoSpaceDN/>
        <w:adjustRightInd/>
        <w:spacing w:before="0" w:after="0" w:line="360" w:lineRule="auto"/>
        <w:textAlignment w:val="auto"/>
        <w:rPr>
          <w:rFonts w:hint="eastAsia" w:ascii="微软雅黑" w:hAnsi="微软雅黑" w:eastAsia="微软雅黑"/>
          <w:b/>
          <w:color w:val="000000"/>
          <w:kern w:val="2"/>
          <w:sz w:val="28"/>
          <w:szCs w:val="28"/>
          <w:lang w:val="fr-FR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720" w:num="1"/>
          <w:docGrid w:type="lines" w:linePitch="312" w:charSpace="0"/>
        </w:sectPr>
      </w:pPr>
    </w:p>
    <w:p>
      <w:pPr>
        <w:widowControl w:val="0"/>
        <w:pBdr>
          <w:top w:val="single" w:color="auto" w:sz="6" w:space="13"/>
        </w:pBdr>
        <w:overflowPunct/>
        <w:autoSpaceDE/>
        <w:autoSpaceDN/>
        <w:adjustRightInd/>
        <w:spacing w:before="0" w:after="0" w:line="360" w:lineRule="auto"/>
        <w:textAlignment w:val="auto"/>
        <w:rPr>
          <w:rFonts w:hint="eastAsia" w:ascii="Tahoma" w:hAnsi="Tahoma" w:eastAsia="宋体"/>
          <w:kern w:val="0"/>
          <w:sz w:val="28"/>
          <w:szCs w:val="20"/>
          <w:lang w:val="fr-FR" w:eastAsia="zh-CN"/>
        </w:rPr>
      </w:pPr>
      <w:r>
        <w:rPr>
          <w:rFonts w:hint="eastAsia" w:ascii="微软雅黑" w:hAnsi="微软雅黑" w:eastAsia="微软雅黑"/>
          <w:b/>
          <w:color w:val="000000"/>
          <w:kern w:val="2"/>
          <w:sz w:val="28"/>
          <w:szCs w:val="28"/>
          <w:lang w:val="fr-FR" w:eastAsia="zh-CN"/>
        </w:rPr>
        <w:t>版本记录</w:t>
      </w:r>
    </w:p>
    <w:tbl>
      <w:tblPr>
        <w:tblStyle w:val="11"/>
        <w:tblW w:w="8717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1346"/>
        <w:gridCol w:w="992"/>
        <w:gridCol w:w="1701"/>
        <w:gridCol w:w="4678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jc w:val="center"/>
        </w:trPr>
        <w:tc>
          <w:tcPr>
            <w:tcW w:w="1346" w:type="dxa"/>
            <w:shd w:val="clear" w:color="auto" w:fill="E0E0E0"/>
            <w:noWrap w:val="0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pacing w:before="0" w:after="0" w:line="360" w:lineRule="auto"/>
              <w:jc w:val="center"/>
              <w:textAlignment w:val="baseline"/>
              <w:rPr>
                <w:rFonts w:ascii="Tahoma" w:hAnsi="Tahoma" w:eastAsia="宋体" w:cs="Times New Roman"/>
                <w:b/>
                <w:color w:val="000000"/>
                <w:sz w:val="21"/>
                <w:szCs w:val="21"/>
                <w:lang w:val="en-GB" w:eastAsia="zh-CN" w:bidi="ar-SA"/>
              </w:rPr>
            </w:pPr>
            <w:r>
              <w:rPr>
                <w:rFonts w:hint="eastAsia" w:ascii="Tahoma" w:hAnsi="Tahoma" w:eastAsia="宋体" w:cs="Times New Roman"/>
                <w:b/>
                <w:color w:val="000000"/>
                <w:sz w:val="21"/>
                <w:szCs w:val="21"/>
                <w:lang w:val="en-GB" w:eastAsia="zh-CN" w:bidi="ar-SA"/>
              </w:rPr>
              <w:t>日期</w:t>
            </w:r>
          </w:p>
        </w:tc>
        <w:tc>
          <w:tcPr>
            <w:tcW w:w="992" w:type="dxa"/>
            <w:shd w:val="clear" w:color="auto" w:fill="E0E0E0"/>
            <w:noWrap w:val="0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pacing w:before="0" w:after="0" w:line="360" w:lineRule="auto"/>
              <w:jc w:val="center"/>
              <w:textAlignment w:val="baseline"/>
              <w:rPr>
                <w:rFonts w:ascii="Tahoma" w:hAnsi="Tahoma" w:eastAsia="宋体" w:cs="Times New Roman"/>
                <w:b/>
                <w:color w:val="000000"/>
                <w:sz w:val="21"/>
                <w:szCs w:val="21"/>
                <w:lang w:val="en-GB" w:eastAsia="zh-CN" w:bidi="ar-SA"/>
              </w:rPr>
            </w:pPr>
            <w:r>
              <w:rPr>
                <w:rFonts w:hint="eastAsia" w:ascii="Tahoma" w:hAnsi="Tahoma" w:eastAsia="宋体" w:cs="Times New Roman"/>
                <w:b/>
                <w:color w:val="000000"/>
                <w:sz w:val="21"/>
                <w:szCs w:val="21"/>
                <w:lang w:val="en-GB" w:eastAsia="zh-CN" w:bidi="ar-SA"/>
              </w:rPr>
              <w:t>版本</w:t>
            </w:r>
          </w:p>
        </w:tc>
        <w:tc>
          <w:tcPr>
            <w:tcW w:w="1701" w:type="dxa"/>
            <w:shd w:val="clear" w:color="auto" w:fill="E0E0E0"/>
            <w:noWrap w:val="0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pacing w:before="0" w:after="0" w:line="360" w:lineRule="auto"/>
              <w:jc w:val="center"/>
              <w:textAlignment w:val="baseline"/>
              <w:rPr>
                <w:rFonts w:ascii="Tahoma" w:hAnsi="Tahoma" w:eastAsia="宋体" w:cs="Times New Roman"/>
                <w:b/>
                <w:color w:val="000000"/>
                <w:sz w:val="21"/>
                <w:szCs w:val="21"/>
                <w:lang w:val="en-GB" w:eastAsia="zh-CN" w:bidi="ar-SA"/>
              </w:rPr>
            </w:pPr>
            <w:r>
              <w:rPr>
                <w:rFonts w:hint="eastAsia" w:ascii="Tahoma" w:hAnsi="Tahoma" w:eastAsia="宋体" w:cs="Times New Roman"/>
                <w:b/>
                <w:color w:val="000000"/>
                <w:sz w:val="21"/>
                <w:szCs w:val="21"/>
                <w:lang w:val="en-GB" w:eastAsia="zh-CN" w:bidi="ar-SA"/>
              </w:rPr>
              <w:t>作者</w:t>
            </w:r>
          </w:p>
        </w:tc>
        <w:tc>
          <w:tcPr>
            <w:tcW w:w="4678" w:type="dxa"/>
            <w:shd w:val="clear" w:color="auto" w:fill="E0E0E0"/>
            <w:noWrap w:val="0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pacing w:before="0" w:after="0" w:line="360" w:lineRule="auto"/>
              <w:jc w:val="center"/>
              <w:textAlignment w:val="baseline"/>
              <w:rPr>
                <w:rFonts w:ascii="Tahoma" w:hAnsi="Tahoma" w:eastAsia="宋体" w:cs="Times New Roman"/>
                <w:b/>
                <w:color w:val="000000"/>
                <w:sz w:val="21"/>
                <w:szCs w:val="21"/>
                <w:lang w:val="en-GB" w:eastAsia="zh-CN" w:bidi="ar-SA"/>
              </w:rPr>
            </w:pPr>
            <w:r>
              <w:rPr>
                <w:rFonts w:hint="eastAsia" w:ascii="Tahoma" w:hAnsi="Tahoma" w:eastAsia="宋体" w:cs="Times New Roman"/>
                <w:b/>
                <w:color w:val="000000"/>
                <w:sz w:val="21"/>
                <w:szCs w:val="21"/>
                <w:lang w:val="en-GB" w:eastAsia="zh-CN" w:bidi="ar-SA"/>
              </w:rPr>
              <w:t>描述说明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jc w:val="center"/>
        </w:trPr>
        <w:tc>
          <w:tcPr>
            <w:tcW w:w="1346" w:type="dxa"/>
            <w:noWrap w:val="0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pacing w:before="0" w:after="0" w:line="360" w:lineRule="auto"/>
              <w:jc w:val="center"/>
              <w:textAlignment w:val="baseline"/>
              <w:rPr>
                <w:rFonts w:hint="default" w:ascii="Tahoma" w:hAnsi="Tahoma" w:eastAsia="宋体" w:cs="Times New Roman"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ahoma" w:hAnsi="Tahoma" w:eastAsia="宋体" w:cs="Times New Roman"/>
                <w:color w:val="000000"/>
                <w:sz w:val="21"/>
                <w:szCs w:val="21"/>
                <w:lang w:val="en-GB" w:eastAsia="zh-CN" w:bidi="ar-SA"/>
              </w:rPr>
              <w:t>20</w:t>
            </w:r>
            <w:r>
              <w:rPr>
                <w:rFonts w:hint="eastAsia" w:ascii="Tahoma" w:hAnsi="Tahoma" w:eastAsia="宋体" w:cs="Times New Roman"/>
                <w:color w:val="000000"/>
                <w:sz w:val="21"/>
                <w:szCs w:val="21"/>
                <w:lang w:val="en-US" w:eastAsia="zh-CN" w:bidi="ar-SA"/>
              </w:rPr>
              <w:t>20-08-31</w:t>
            </w:r>
          </w:p>
        </w:tc>
        <w:tc>
          <w:tcPr>
            <w:tcW w:w="992" w:type="dxa"/>
            <w:noWrap w:val="0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pacing w:before="0" w:after="0" w:line="360" w:lineRule="auto"/>
              <w:jc w:val="center"/>
              <w:textAlignment w:val="baseline"/>
              <w:rPr>
                <w:rFonts w:ascii="Tahoma" w:hAnsi="Tahoma" w:eastAsia="宋体" w:cs="Times New Roman"/>
                <w:color w:val="000000"/>
                <w:sz w:val="21"/>
                <w:szCs w:val="21"/>
                <w:lang w:val="en-GB" w:eastAsia="zh-CN" w:bidi="ar-SA"/>
              </w:rPr>
            </w:pPr>
            <w:r>
              <w:rPr>
                <w:rFonts w:hint="eastAsia" w:ascii="Tahoma" w:hAnsi="Tahoma" w:eastAsia="宋体" w:cs="Times New Roman"/>
                <w:color w:val="000000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eastAsia" w:ascii="Tahoma" w:hAnsi="Tahoma" w:eastAsia="宋体" w:cs="Times New Roman"/>
                <w:color w:val="000000"/>
                <w:sz w:val="21"/>
                <w:szCs w:val="21"/>
                <w:lang w:val="en-GB" w:eastAsia="zh-CN" w:bidi="ar-SA"/>
              </w:rPr>
              <w:t>.</w:t>
            </w:r>
            <w:r>
              <w:rPr>
                <w:rFonts w:hint="eastAsia" w:ascii="Tahoma" w:hAnsi="Tahoma" w:eastAsia="宋体" w:cs="Times New Roman"/>
                <w:color w:val="000000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pacing w:before="0" w:after="0" w:line="360" w:lineRule="auto"/>
              <w:jc w:val="center"/>
              <w:textAlignment w:val="baseline"/>
              <w:rPr>
                <w:rFonts w:hint="default" w:ascii="Tahoma" w:hAnsi="Tahoma" w:eastAsia="宋体" w:cs="Times New Roman"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ahoma" w:hAnsi="Tahoma" w:eastAsia="宋体" w:cs="Times New Roman"/>
                <w:color w:val="000000"/>
                <w:sz w:val="21"/>
                <w:szCs w:val="21"/>
                <w:lang w:val="en-US" w:eastAsia="zh-CN" w:bidi="ar-SA"/>
              </w:rPr>
              <w:t>孙雪刚</w:t>
            </w:r>
          </w:p>
        </w:tc>
        <w:tc>
          <w:tcPr>
            <w:tcW w:w="4678" w:type="dxa"/>
            <w:noWrap w:val="0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pacing w:before="0" w:after="0" w:line="360" w:lineRule="auto"/>
              <w:jc w:val="left"/>
              <w:textAlignment w:val="baseline"/>
              <w:rPr>
                <w:rFonts w:hint="default" w:ascii="Tahoma" w:hAnsi="Tahoma" w:eastAsia="宋体" w:cs="Times New Roman"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ahoma" w:hAnsi="Tahoma" w:eastAsia="宋体" w:cs="Times New Roman"/>
                <w:color w:val="000000"/>
                <w:sz w:val="21"/>
                <w:szCs w:val="21"/>
                <w:lang w:val="en-US" w:eastAsia="zh-CN" w:bidi="ar-SA"/>
              </w:rPr>
              <w:t>更新</w:t>
            </w:r>
            <w:bookmarkStart w:id="33" w:name="_GoBack"/>
            <w:bookmarkEnd w:id="33"/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jc w:val="center"/>
        </w:trPr>
        <w:tc>
          <w:tcPr>
            <w:tcW w:w="1346" w:type="dxa"/>
            <w:noWrap w:val="0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pacing w:before="0" w:after="0" w:line="360" w:lineRule="auto"/>
              <w:jc w:val="center"/>
              <w:textAlignment w:val="baseline"/>
              <w:rPr>
                <w:rFonts w:hint="eastAsia" w:ascii="Tahoma" w:hAnsi="Tahoma" w:eastAsia="宋体" w:cs="Times New Roman"/>
                <w:color w:val="000000"/>
                <w:sz w:val="21"/>
                <w:szCs w:val="21"/>
                <w:lang w:val="en-GB" w:eastAsia="zh-CN" w:bidi="ar-SA"/>
              </w:rPr>
            </w:pPr>
          </w:p>
        </w:tc>
        <w:tc>
          <w:tcPr>
            <w:tcW w:w="992" w:type="dxa"/>
            <w:noWrap w:val="0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pacing w:before="0" w:after="0" w:line="360" w:lineRule="auto"/>
              <w:jc w:val="center"/>
              <w:textAlignment w:val="baseline"/>
              <w:rPr>
                <w:rFonts w:hint="eastAsia" w:ascii="Tahoma" w:hAnsi="Tahoma" w:eastAsia="宋体" w:cs="Times New Roman"/>
                <w:color w:val="000000"/>
                <w:sz w:val="21"/>
                <w:szCs w:val="21"/>
                <w:lang w:val="en-GB" w:eastAsia="zh-CN" w:bidi="ar-SA"/>
              </w:rPr>
            </w:pPr>
          </w:p>
        </w:tc>
        <w:tc>
          <w:tcPr>
            <w:tcW w:w="1701" w:type="dxa"/>
            <w:noWrap w:val="0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pacing w:before="0" w:after="0" w:line="360" w:lineRule="auto"/>
              <w:jc w:val="center"/>
              <w:textAlignment w:val="baseline"/>
              <w:rPr>
                <w:rFonts w:hint="eastAsia" w:ascii="Tahoma" w:hAnsi="Tahoma" w:eastAsia="宋体" w:cs="Times New Roman"/>
                <w:color w:val="00000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4678" w:type="dxa"/>
            <w:noWrap w:val="0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pacing w:before="0" w:after="0" w:line="360" w:lineRule="auto"/>
              <w:jc w:val="left"/>
              <w:textAlignment w:val="baseline"/>
              <w:rPr>
                <w:rFonts w:hint="eastAsia" w:ascii="Tahoma" w:hAnsi="Tahoma" w:eastAsia="宋体" w:cs="Times New Roman"/>
                <w:color w:val="000000"/>
                <w:sz w:val="21"/>
                <w:szCs w:val="21"/>
                <w:lang w:val="en-GB" w:eastAsia="zh-CN" w:bidi="ar-SA"/>
              </w:rPr>
            </w:pPr>
          </w:p>
        </w:tc>
      </w:tr>
    </w:tbl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/>
          <w:sz w:val="40"/>
          <w:szCs w:val="48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NumType w:fmt="decimal" w:start="1"/>
          <w:cols w:space="720" w:num="1"/>
          <w:docGrid w:type="lines" w:linePitch="312" w:charSpace="0"/>
        </w:sectPr>
      </w:pPr>
    </w:p>
    <w:p>
      <w:pPr>
        <w:rPr>
          <w:rFonts w:hint="eastAsia"/>
          <w:lang w:val="en-US" w:eastAsia="zh-CN"/>
        </w:rPr>
      </w:pPr>
      <w:bookmarkStart w:id="13" w:name="_Toc8398"/>
      <w:bookmarkStart w:id="14" w:name="_Toc26540"/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仿宋" w:hAnsi="仿宋" w:eastAsia="仿宋" w:cs="仿宋"/>
          <w:b/>
          <w:bCs/>
          <w:sz w:val="160"/>
          <w:szCs w:val="96"/>
        </w:rPr>
      </w:pPr>
      <w:r>
        <w:rPr>
          <w:rFonts w:hint="eastAsia" w:ascii="仿宋" w:hAnsi="仿宋" w:eastAsia="仿宋" w:cs="仿宋"/>
          <w:b/>
          <w:bCs/>
          <w:sz w:val="56"/>
          <w:szCs w:val="96"/>
        </w:rPr>
        <w:t>目录</w:t>
      </w:r>
    </w:p>
    <w:p>
      <w:pPr>
        <w:pStyle w:val="8"/>
        <w:tabs>
          <w:tab w:val="right" w:leader="dot" w:pos="8306"/>
        </w:tabs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instrText xml:space="preserve">TOC \o "1-3" \h \u </w:instrTex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Cs w:val="28"/>
          <w:lang w:val="en-US" w:eastAsia="zh-CN"/>
        </w:rPr>
        <w:instrText xml:space="preserve"> HYPERLINK \l _Toc30751 </w:instrText>
      </w:r>
      <w:r>
        <w:rPr>
          <w:rFonts w:hint="eastAsia" w:ascii="仿宋" w:hAnsi="仿宋" w:eastAsia="仿宋" w:cs="仿宋"/>
          <w:szCs w:val="28"/>
          <w:lang w:val="en-US" w:eastAsia="zh-CN"/>
        </w:rPr>
        <w:fldChar w:fldCharType="separate"/>
      </w:r>
      <w:r>
        <w:rPr>
          <w:rFonts w:hint="eastAsia"/>
          <w:szCs w:val="36"/>
          <w:lang w:val="en-US" w:eastAsia="zh-CN"/>
        </w:rPr>
        <w:t>滨州市渤海英才服务卡系统</w:t>
      </w:r>
      <w:r>
        <w:tab/>
      </w:r>
      <w:r>
        <w:fldChar w:fldCharType="begin"/>
      </w:r>
      <w:r>
        <w:instrText xml:space="preserve"> PAGEREF _Toc30751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仿宋" w:hAnsi="仿宋" w:eastAsia="仿宋" w:cs="仿宋"/>
          <w:szCs w:val="28"/>
          <w:lang w:val="en-US" w:eastAsia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仿宋" w:hAnsi="仿宋" w:eastAsia="仿宋" w:cs="仿宋"/>
          <w:szCs w:val="40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Cs w:val="40"/>
          <w:lang w:val="en-US" w:eastAsia="zh-CN"/>
        </w:rPr>
        <w:instrText xml:space="preserve"> HYPERLINK \l _Toc17524 </w:instrText>
      </w:r>
      <w:r>
        <w:rPr>
          <w:rFonts w:hint="eastAsia" w:ascii="仿宋" w:hAnsi="仿宋" w:eastAsia="仿宋" w:cs="仿宋"/>
          <w:szCs w:val="40"/>
          <w:lang w:val="en-US" w:eastAsia="zh-CN"/>
        </w:rPr>
        <w:fldChar w:fldCharType="separate"/>
      </w:r>
      <w:r>
        <w:rPr>
          <w:rFonts w:hint="eastAsia"/>
          <w:szCs w:val="36"/>
          <w:lang w:val="en-US" w:eastAsia="zh-CN"/>
        </w:rPr>
        <w:t>操作手册-单位篇</w:t>
      </w:r>
      <w:r>
        <w:tab/>
      </w:r>
      <w:r>
        <w:fldChar w:fldCharType="begin"/>
      </w:r>
      <w:r>
        <w:instrText xml:space="preserve"> PAGEREF _Toc17524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仿宋" w:hAnsi="仿宋" w:eastAsia="仿宋" w:cs="仿宋"/>
          <w:szCs w:val="40"/>
          <w:lang w:val="en-US" w:eastAsia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  <w:szCs w:val="40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Cs w:val="40"/>
          <w:lang w:val="en-US" w:eastAsia="zh-CN"/>
        </w:rPr>
        <w:instrText xml:space="preserve"> HYPERLINK \l _Toc27531 </w:instrText>
      </w:r>
      <w:r>
        <w:rPr>
          <w:rFonts w:hint="eastAsia" w:ascii="仿宋" w:hAnsi="仿宋" w:eastAsia="仿宋" w:cs="仿宋"/>
          <w:szCs w:val="40"/>
          <w:lang w:val="en-US" w:eastAsia="zh-CN"/>
        </w:rPr>
        <w:fldChar w:fldCharType="separate"/>
      </w:r>
      <w:r>
        <w:rPr>
          <w:rFonts w:hint="eastAsia"/>
          <w:szCs w:val="28"/>
          <w:lang w:val="en-US" w:eastAsia="zh-CN"/>
        </w:rPr>
        <w:t>一． 前言</w:t>
      </w:r>
      <w:r>
        <w:tab/>
      </w:r>
      <w:r>
        <w:fldChar w:fldCharType="begin"/>
      </w:r>
      <w:r>
        <w:instrText xml:space="preserve"> PAGEREF _Toc27531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仿宋" w:hAnsi="仿宋" w:eastAsia="仿宋" w:cs="仿宋"/>
          <w:szCs w:val="40"/>
          <w:lang w:val="en-US" w:eastAsia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  <w:szCs w:val="40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Cs w:val="40"/>
          <w:lang w:val="en-US" w:eastAsia="zh-CN"/>
        </w:rPr>
        <w:instrText xml:space="preserve"> HYPERLINK \l _Toc31476 </w:instrText>
      </w:r>
      <w:r>
        <w:rPr>
          <w:rFonts w:hint="eastAsia" w:ascii="仿宋" w:hAnsi="仿宋" w:eastAsia="仿宋" w:cs="仿宋"/>
          <w:szCs w:val="40"/>
          <w:lang w:val="en-US" w:eastAsia="zh-CN"/>
        </w:rPr>
        <w:fldChar w:fldCharType="separate"/>
      </w:r>
      <w:r>
        <w:rPr>
          <w:rFonts w:hint="eastAsia"/>
          <w:szCs w:val="28"/>
          <w:lang w:val="en-US" w:eastAsia="zh-CN"/>
        </w:rPr>
        <w:t>二． 注册</w:t>
      </w:r>
      <w:r>
        <w:tab/>
      </w:r>
      <w:r>
        <w:fldChar w:fldCharType="begin"/>
      </w:r>
      <w:r>
        <w:instrText xml:space="preserve"> PAGEREF _Toc31476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仿宋" w:hAnsi="仿宋" w:eastAsia="仿宋" w:cs="仿宋"/>
          <w:szCs w:val="40"/>
          <w:lang w:val="en-US" w:eastAsia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  <w:szCs w:val="40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Cs w:val="40"/>
          <w:lang w:val="en-US" w:eastAsia="zh-CN"/>
        </w:rPr>
        <w:instrText xml:space="preserve"> HYPERLINK \l _Toc986 </w:instrText>
      </w:r>
      <w:r>
        <w:rPr>
          <w:rFonts w:hint="eastAsia" w:ascii="仿宋" w:hAnsi="仿宋" w:eastAsia="仿宋" w:cs="仿宋"/>
          <w:szCs w:val="40"/>
          <w:lang w:val="en-US" w:eastAsia="zh-CN"/>
        </w:rPr>
        <w:fldChar w:fldCharType="separate"/>
      </w:r>
      <w:r>
        <w:rPr>
          <w:rFonts w:hint="eastAsia"/>
          <w:szCs w:val="28"/>
          <w:lang w:val="en-US" w:eastAsia="zh-CN"/>
        </w:rPr>
        <w:t>三． 登录</w:t>
      </w:r>
      <w:r>
        <w:tab/>
      </w:r>
      <w:r>
        <w:fldChar w:fldCharType="begin"/>
      </w:r>
      <w:r>
        <w:instrText xml:space="preserve"> PAGEREF _Toc986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仿宋" w:hAnsi="仿宋" w:eastAsia="仿宋" w:cs="仿宋"/>
          <w:szCs w:val="40"/>
          <w:lang w:val="en-US" w:eastAsia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  <w:szCs w:val="40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Cs w:val="40"/>
          <w:lang w:val="en-US" w:eastAsia="zh-CN"/>
        </w:rPr>
        <w:instrText xml:space="preserve"> HYPERLINK \l _Toc13365 </w:instrText>
      </w:r>
      <w:r>
        <w:rPr>
          <w:rFonts w:hint="eastAsia" w:ascii="仿宋" w:hAnsi="仿宋" w:eastAsia="仿宋" w:cs="仿宋"/>
          <w:szCs w:val="40"/>
          <w:lang w:val="en-US" w:eastAsia="zh-CN"/>
        </w:rPr>
        <w:fldChar w:fldCharType="separate"/>
      </w:r>
      <w:r>
        <w:rPr>
          <w:rFonts w:hint="eastAsia"/>
          <w:szCs w:val="28"/>
          <w:lang w:val="en-US" w:eastAsia="zh-CN"/>
        </w:rPr>
        <w:t>四． 系统页面介绍</w:t>
      </w:r>
      <w:r>
        <w:tab/>
      </w:r>
      <w:r>
        <w:fldChar w:fldCharType="begin"/>
      </w:r>
      <w:r>
        <w:instrText xml:space="preserve"> PAGEREF _Toc13365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仿宋" w:hAnsi="仿宋" w:eastAsia="仿宋" w:cs="仿宋"/>
          <w:szCs w:val="40"/>
          <w:lang w:val="en-US" w:eastAsia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  <w:szCs w:val="40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Cs w:val="40"/>
          <w:lang w:val="en-US" w:eastAsia="zh-CN"/>
        </w:rPr>
        <w:instrText xml:space="preserve"> HYPERLINK \l _Toc12464 </w:instrText>
      </w:r>
      <w:r>
        <w:rPr>
          <w:rFonts w:hint="eastAsia" w:ascii="仿宋" w:hAnsi="仿宋" w:eastAsia="仿宋" w:cs="仿宋"/>
          <w:szCs w:val="40"/>
          <w:lang w:val="en-US" w:eastAsia="zh-CN"/>
        </w:rPr>
        <w:fldChar w:fldCharType="separate"/>
      </w:r>
      <w:r>
        <w:rPr>
          <w:rFonts w:hint="eastAsia"/>
          <w:szCs w:val="28"/>
          <w:lang w:val="en-US" w:eastAsia="zh-CN"/>
        </w:rPr>
        <w:t>五． 系统功能</w:t>
      </w:r>
      <w:r>
        <w:tab/>
      </w:r>
      <w:r>
        <w:fldChar w:fldCharType="begin"/>
      </w:r>
      <w:r>
        <w:instrText xml:space="preserve"> PAGEREF _Toc12464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仿宋" w:hAnsi="仿宋" w:eastAsia="仿宋" w:cs="仿宋"/>
          <w:szCs w:val="40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仿宋" w:hAnsi="仿宋" w:eastAsia="仿宋" w:cs="仿宋"/>
          <w:szCs w:val="40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Cs w:val="40"/>
          <w:lang w:val="en-US" w:eastAsia="zh-CN"/>
        </w:rPr>
        <w:instrText xml:space="preserve"> HYPERLINK \l _Toc1675 </w:instrText>
      </w:r>
      <w:r>
        <w:rPr>
          <w:rFonts w:hint="eastAsia" w:ascii="仿宋" w:hAnsi="仿宋" w:eastAsia="仿宋" w:cs="仿宋"/>
          <w:szCs w:val="40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1. </w:t>
      </w:r>
      <w:r>
        <w:rPr>
          <w:rFonts w:hint="eastAsia"/>
          <w:lang w:val="en-US" w:eastAsia="zh-CN"/>
        </w:rPr>
        <w:t>系统管理</w:t>
      </w:r>
      <w:r>
        <w:tab/>
      </w:r>
      <w:r>
        <w:fldChar w:fldCharType="begin"/>
      </w:r>
      <w:r>
        <w:instrText xml:space="preserve"> PAGEREF _Toc1675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仿宋" w:hAnsi="仿宋" w:eastAsia="仿宋" w:cs="仿宋"/>
          <w:szCs w:val="40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仿宋" w:hAnsi="仿宋" w:eastAsia="仿宋" w:cs="仿宋"/>
          <w:szCs w:val="40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Cs w:val="40"/>
          <w:lang w:val="en-US" w:eastAsia="zh-CN"/>
        </w:rPr>
        <w:instrText xml:space="preserve"> HYPERLINK \l _Toc1865 </w:instrText>
      </w:r>
      <w:r>
        <w:rPr>
          <w:rFonts w:hint="eastAsia" w:ascii="仿宋" w:hAnsi="仿宋" w:eastAsia="仿宋" w:cs="仿宋"/>
          <w:szCs w:val="40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 个人注册信息审核</w:t>
      </w:r>
      <w:r>
        <w:tab/>
      </w:r>
      <w:r>
        <w:fldChar w:fldCharType="begin"/>
      </w:r>
      <w:r>
        <w:instrText xml:space="preserve"> PAGEREF _Toc1865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仿宋" w:hAnsi="仿宋" w:eastAsia="仿宋" w:cs="仿宋"/>
          <w:szCs w:val="40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仿宋" w:hAnsi="仿宋" w:eastAsia="仿宋" w:cs="仿宋"/>
          <w:szCs w:val="40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Cs w:val="40"/>
          <w:lang w:val="en-US" w:eastAsia="zh-CN"/>
        </w:rPr>
        <w:instrText xml:space="preserve"> HYPERLINK \l _Toc4500 </w:instrText>
      </w:r>
      <w:r>
        <w:rPr>
          <w:rFonts w:hint="eastAsia" w:ascii="仿宋" w:hAnsi="仿宋" w:eastAsia="仿宋" w:cs="仿宋"/>
          <w:szCs w:val="40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3. </w:t>
      </w:r>
      <w:r>
        <w:rPr>
          <w:rFonts w:hint="eastAsia"/>
          <w:lang w:val="en-US" w:eastAsia="zh-CN"/>
        </w:rPr>
        <w:t>单位负责人审核</w:t>
      </w:r>
      <w:r>
        <w:tab/>
      </w:r>
      <w:r>
        <w:fldChar w:fldCharType="begin"/>
      </w:r>
      <w:r>
        <w:instrText xml:space="preserve"> PAGEREF _Toc4500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仿宋" w:hAnsi="仿宋" w:eastAsia="仿宋" w:cs="仿宋"/>
          <w:szCs w:val="40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仿宋" w:hAnsi="仿宋" w:eastAsia="仿宋" w:cs="仿宋"/>
          <w:szCs w:val="40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Cs w:val="40"/>
          <w:lang w:val="en-US" w:eastAsia="zh-CN"/>
        </w:rPr>
        <w:instrText xml:space="preserve"> HYPERLINK \l _Toc21201 </w:instrText>
      </w:r>
      <w:r>
        <w:rPr>
          <w:rFonts w:hint="eastAsia" w:ascii="仿宋" w:hAnsi="仿宋" w:eastAsia="仿宋" w:cs="仿宋"/>
          <w:szCs w:val="40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4. </w:t>
      </w:r>
      <w:r>
        <w:rPr>
          <w:rFonts w:hint="eastAsia"/>
          <w:lang w:val="en-US" w:eastAsia="zh-CN"/>
        </w:rPr>
        <w:t>单位端申报信息查询</w:t>
      </w:r>
      <w:r>
        <w:tab/>
      </w:r>
      <w:r>
        <w:fldChar w:fldCharType="begin"/>
      </w:r>
      <w:r>
        <w:instrText xml:space="preserve"> PAGEREF _Toc21201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仿宋" w:hAnsi="仿宋" w:eastAsia="仿宋" w:cs="仿宋"/>
          <w:szCs w:val="40"/>
          <w:lang w:val="en-US" w:eastAsia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  <w:szCs w:val="40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Cs w:val="40"/>
          <w:lang w:val="en-US" w:eastAsia="zh-CN"/>
        </w:rPr>
        <w:instrText xml:space="preserve"> HYPERLINK \l _Toc7596 </w:instrText>
      </w:r>
      <w:r>
        <w:rPr>
          <w:rFonts w:hint="eastAsia" w:ascii="仿宋" w:hAnsi="仿宋" w:eastAsia="仿宋" w:cs="仿宋"/>
          <w:szCs w:val="40"/>
          <w:lang w:val="en-US" w:eastAsia="zh-CN"/>
        </w:rPr>
        <w:fldChar w:fldCharType="separate"/>
      </w:r>
      <w:r>
        <w:rPr>
          <w:rFonts w:hint="eastAsia"/>
          <w:szCs w:val="28"/>
          <w:lang w:val="en-US" w:eastAsia="zh-CN"/>
        </w:rPr>
        <w:t>六． 退出系统</w:t>
      </w:r>
      <w:r>
        <w:tab/>
      </w:r>
      <w:r>
        <w:fldChar w:fldCharType="begin"/>
      </w:r>
      <w:r>
        <w:instrText xml:space="preserve"> PAGEREF _Toc7596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仿宋" w:hAnsi="仿宋" w:eastAsia="仿宋" w:cs="仿宋"/>
          <w:szCs w:val="40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NumType w:fmt="decimal" w:start="1"/>
          <w:cols w:space="720" w:num="1"/>
          <w:docGrid w:type="lines" w:linePitch="312" w:charSpace="0"/>
        </w:sectPr>
      </w:pPr>
      <w:r>
        <w:rPr>
          <w:rFonts w:hint="eastAsia" w:ascii="仿宋" w:hAnsi="仿宋" w:eastAsia="仿宋" w:cs="仿宋"/>
          <w:szCs w:val="40"/>
          <w:lang w:val="en-US" w:eastAsia="zh-CN"/>
        </w:rPr>
        <w:fldChar w:fldCharType="end"/>
      </w:r>
    </w:p>
    <w:bookmarkEnd w:id="13"/>
    <w:bookmarkEnd w:id="14"/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sz w:val="36"/>
          <w:szCs w:val="28"/>
          <w:lang w:val="en-US" w:eastAsia="zh-CN"/>
        </w:rPr>
      </w:pPr>
      <w:bookmarkStart w:id="15" w:name="_Toc23506"/>
      <w:bookmarkStart w:id="16" w:name="_Toc27531"/>
      <w:r>
        <w:rPr>
          <w:rFonts w:hint="eastAsia"/>
          <w:sz w:val="36"/>
          <w:szCs w:val="28"/>
          <w:lang w:val="en-US" w:eastAsia="zh-CN"/>
        </w:rPr>
        <w:t>前言</w:t>
      </w:r>
      <w:bookmarkEnd w:id="15"/>
      <w:bookmarkEnd w:id="16"/>
    </w:p>
    <w:p>
      <w:pPr>
        <w:numPr>
          <w:ilvl w:val="0"/>
          <w:numId w:val="0"/>
        </w:numPr>
        <w:ind w:firstLine="64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系统的登录要求和简单设置、如何进入请见通用篇。</w:t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default"/>
          <w:b/>
          <w:sz w:val="36"/>
          <w:szCs w:val="28"/>
          <w:lang w:val="en-US" w:eastAsia="zh-CN"/>
        </w:rPr>
      </w:pPr>
      <w:bookmarkStart w:id="17" w:name="_Toc31476"/>
      <w:bookmarkStart w:id="18" w:name="_Toc28549"/>
      <w:r>
        <w:rPr>
          <w:rFonts w:hint="eastAsia"/>
          <w:b/>
          <w:sz w:val="36"/>
          <w:szCs w:val="28"/>
          <w:lang w:val="en-US" w:eastAsia="zh-CN"/>
        </w:rPr>
        <w:t>注册</w:t>
      </w:r>
      <w:bookmarkEnd w:id="17"/>
      <w:bookmarkEnd w:id="18"/>
    </w:p>
    <w:p>
      <w:pPr>
        <w:ind w:firstLine="64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位先注册，注册完成以后需要登陆系统完成材料的上传，上传完材料以后提交人社局审核，审核通过以后才可以办理业务，审核期间可以登陆系统但不能办理业务，供单位所在人员注册时选择使用（必须先单位注册且审核通过之后，单位所在人员才能进行注册和申报）。</w:t>
      </w:r>
    </w:p>
    <w:p>
      <w:pPr>
        <w:ind w:firstLine="64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注册步骤为：</w:t>
      </w:r>
    </w:p>
    <w:p>
      <w:pPr>
        <w:numPr>
          <w:ilvl w:val="0"/>
          <w:numId w:val="2"/>
        </w:numPr>
        <w:ind w:firstLine="64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系统首页-普通登录选择【单位登录】-点击登录下面的【单位注册】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051050"/>
            <wp:effectExtent l="0" t="0" r="8255" b="6350"/>
            <wp:docPr id="3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ind w:left="0" w:leftChars="0" w:firstLine="64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进入注册页面，展示用户须知，点击【同意】</w:t>
      </w:r>
    </w:p>
    <w:p>
      <w:pPr>
        <w:numPr>
          <w:ilvl w:val="0"/>
          <w:numId w:val="0"/>
        </w:numPr>
        <w:ind w:left="640"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4134485"/>
            <wp:effectExtent l="0" t="0" r="5715" b="18415"/>
            <wp:docPr id="3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64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进入单位注册页面，输入单位名称、所属机构、用户名、密码、联系人、证件号码、手机号码（即后期用于登录的信息）；</w:t>
      </w:r>
    </w:p>
    <w:p>
      <w:pPr>
        <w:numPr>
          <w:numId w:val="0"/>
        </w:num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在进行注册时候不要出现此身份证号码和手机号码（手机号码作为另一种登录方式必须唯一）同时为单位负责人和高层次人才的情况，及身份证号码和手机号码在系统中只能存在一个，不可重复出现。如果身份证号码和手机号码被单位占用，则人才将无法注册。</w:t>
      </w:r>
    </w:p>
    <w:p>
      <w:pPr>
        <w:numPr>
          <w:ilvl w:val="0"/>
          <w:numId w:val="0"/>
        </w:numPr>
        <w:ind w:left="640"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3128010"/>
            <wp:effectExtent l="0" t="0" r="8255" b="15240"/>
            <wp:docPr id="4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64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点击注册以后，注册成功以后，使用用户名和密码登录系统，然后进行单位材料维护。</w:t>
      </w:r>
    </w:p>
    <w:p>
      <w:pPr>
        <w:numPr>
          <w:ilvl w:val="0"/>
          <w:numId w:val="0"/>
        </w:numPr>
        <w:ind w:left="640" w:leftChars="0"/>
      </w:pPr>
      <w:r>
        <w:drawing>
          <wp:inline distT="0" distB="0" distL="114300" distR="114300">
            <wp:extent cx="5272405" cy="4989195"/>
            <wp:effectExtent l="0" t="0" r="4445" b="1905"/>
            <wp:docPr id="4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98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64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普通登录下选择【单位登录】，然后输入用户名和密码进入系统</w:t>
      </w:r>
    </w:p>
    <w:p>
      <w:pPr>
        <w:numPr>
          <w:ilvl w:val="0"/>
          <w:numId w:val="0"/>
        </w:numPr>
        <w:ind w:left="640" w:leftChars="0"/>
      </w:pPr>
      <w:r>
        <w:drawing>
          <wp:inline distT="0" distB="0" distL="114300" distR="114300">
            <wp:extent cx="5259070" cy="1790065"/>
            <wp:effectExtent l="0" t="0" r="17780" b="635"/>
            <wp:docPr id="43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64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6）登录系统以后选择系统管理</w:t>
      </w:r>
    </w:p>
    <w:p>
      <w:pPr>
        <w:numPr>
          <w:ilvl w:val="0"/>
          <w:numId w:val="0"/>
        </w:numPr>
        <w:ind w:left="640" w:leftChars="0"/>
      </w:pPr>
      <w:r>
        <w:drawing>
          <wp:inline distT="0" distB="0" distL="114300" distR="114300">
            <wp:extent cx="5258435" cy="1151890"/>
            <wp:effectExtent l="0" t="0" r="18415" b="10160"/>
            <wp:docPr id="4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64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7）当前单位审核状态为【待提交】，然后点击上传材料，选择需要上传的材料，点击上传附件，上传附件以后关闭查看是否已经有附件，上传成功以后关闭界面</w:t>
      </w:r>
    </w:p>
    <w:p>
      <w:pPr>
        <w:numPr>
          <w:ilvl w:val="0"/>
          <w:numId w:val="0"/>
        </w:numPr>
        <w:ind w:left="640" w:leftChars="0"/>
      </w:pPr>
      <w:r>
        <w:drawing>
          <wp:inline distT="0" distB="0" distL="114300" distR="114300">
            <wp:extent cx="5274310" cy="850900"/>
            <wp:effectExtent l="0" t="0" r="2540" b="6350"/>
            <wp:docPr id="45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640" w:leftChars="0"/>
      </w:pPr>
      <w:r>
        <w:drawing>
          <wp:inline distT="0" distB="0" distL="114300" distR="114300">
            <wp:extent cx="5273040" cy="3089910"/>
            <wp:effectExtent l="0" t="0" r="3810" b="15240"/>
            <wp:docPr id="46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640"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1806575"/>
            <wp:effectExtent l="0" t="0" r="3810" b="3175"/>
            <wp:docPr id="4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firstLine="64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点击【提交申请】，等待审核即可。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1517015"/>
            <wp:effectExtent l="0" t="0" r="10160" b="6985"/>
            <wp:docPr id="49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注意：1.单位注册提交申请，县区人社局没有审核前，此单位也可登录查看审核状态。审核通过则可办理其他业务。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055" cy="1032510"/>
            <wp:effectExtent l="0" t="0" r="10795" b="15240"/>
            <wp:docPr id="5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eastAsia="仿宋"/>
          <w:lang w:val="en-US" w:eastAsia="zh-CN"/>
        </w:rPr>
      </w:pPr>
    </w:p>
    <w:p>
      <w:pPr>
        <w:ind w:firstLine="64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审核不通过即被区县人社局退回，修改之后可再次点击【提交申请】等待审核。</w:t>
      </w:r>
    </w:p>
    <w:p>
      <w:pPr>
        <w:numPr>
          <w:ilvl w:val="0"/>
          <w:numId w:val="4"/>
        </w:numPr>
        <w:ind w:firstLine="64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审核通过之后，单位再次登录后可看到更多的功能，可以办理业务。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1128395"/>
            <wp:effectExtent l="0" t="0" r="8255" b="14605"/>
            <wp:docPr id="52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outlineLvl w:val="0"/>
        <w:rPr>
          <w:rFonts w:hint="default"/>
          <w:b/>
          <w:sz w:val="36"/>
          <w:szCs w:val="28"/>
          <w:lang w:val="en-US" w:eastAsia="zh-CN"/>
        </w:rPr>
      </w:pPr>
      <w:bookmarkStart w:id="19" w:name="_Toc12089"/>
      <w:bookmarkStart w:id="20" w:name="_Toc986"/>
      <w:r>
        <w:rPr>
          <w:rFonts w:hint="eastAsia"/>
          <w:b/>
          <w:sz w:val="36"/>
          <w:szCs w:val="28"/>
          <w:lang w:val="en-US" w:eastAsia="zh-CN"/>
        </w:rPr>
        <w:t>登录</w:t>
      </w:r>
      <w:bookmarkEnd w:id="19"/>
      <w:bookmarkEnd w:id="2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本系统目前支持两种登录方式，一种是普通登录，一种是短信登录。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1、普通登录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选择对应的登录入口-单位登录，输入自己设置的用户账号和密码，点击登录即可。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2085975"/>
            <wp:effectExtent l="0" t="0" r="8890" b="9525"/>
            <wp:docPr id="53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2.短信登录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选择对应的登录入口-单位登录，输入注册时预留的手机号码，点击发送验证码，收到验证码之后输入，点击登录即可。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3971925"/>
            <wp:effectExtent l="0" t="0" r="8255" b="9525"/>
            <wp:docPr id="54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outlineLvl w:val="0"/>
        <w:rPr>
          <w:rFonts w:hint="default"/>
          <w:b/>
          <w:sz w:val="36"/>
          <w:szCs w:val="28"/>
          <w:lang w:val="en-US" w:eastAsia="zh-CN"/>
        </w:rPr>
      </w:pPr>
      <w:bookmarkStart w:id="21" w:name="_Toc13365"/>
      <w:bookmarkStart w:id="22" w:name="_Toc2856"/>
      <w:r>
        <w:rPr>
          <w:rFonts w:hint="eastAsia"/>
          <w:b/>
          <w:sz w:val="36"/>
          <w:szCs w:val="28"/>
          <w:lang w:val="en-US" w:eastAsia="zh-CN"/>
        </w:rPr>
        <w:t>系统页面介绍</w:t>
      </w:r>
      <w:bookmarkEnd w:id="21"/>
      <w:bookmarkEnd w:id="22"/>
    </w:p>
    <w:p>
      <w:pPr>
        <w:rPr>
          <w:rFonts w:hint="eastAsia"/>
          <w:lang w:val="en-US" w:eastAsia="zh-CN"/>
        </w:rPr>
      </w:pPr>
      <w:r>
        <w:rPr>
          <w:rFonts w:hint="eastAsia"/>
          <w:b/>
          <w:sz w:val="36"/>
          <w:szCs w:val="28"/>
          <w:lang w:val="en-US" w:eastAsia="zh-CN"/>
        </w:rPr>
        <w:t xml:space="preserve">   </w:t>
      </w:r>
      <w:r>
        <w:drawing>
          <wp:inline distT="0" distB="0" distL="114300" distR="114300">
            <wp:extent cx="5266690" cy="1546860"/>
            <wp:effectExtent l="0" t="0" r="10160" b="15240"/>
            <wp:docPr id="55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default"/>
          <w:b/>
          <w:sz w:val="36"/>
          <w:szCs w:val="28"/>
          <w:lang w:val="en-US" w:eastAsia="zh-CN"/>
        </w:rPr>
      </w:pPr>
      <w:bookmarkStart w:id="23" w:name="_Toc12464"/>
      <w:bookmarkStart w:id="24" w:name="_Toc17383"/>
      <w:r>
        <w:rPr>
          <w:rFonts w:hint="eastAsia"/>
          <w:b/>
          <w:sz w:val="36"/>
          <w:szCs w:val="28"/>
          <w:lang w:val="en-US" w:eastAsia="zh-CN"/>
        </w:rPr>
        <w:t>系统功能</w:t>
      </w:r>
      <w:bookmarkEnd w:id="23"/>
      <w:bookmarkEnd w:id="24"/>
    </w:p>
    <w:p>
      <w:pPr>
        <w:ind w:firstLine="320" w:firstLineChars="1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整体</w:t>
      </w:r>
      <w:r>
        <w:rPr>
          <w:rFonts w:hint="eastAsia"/>
          <w:lang w:val="en-US" w:eastAsia="zh-CN"/>
        </w:rPr>
        <w:t>申报</w:t>
      </w:r>
      <w:r>
        <w:rPr>
          <w:rFonts w:hint="default"/>
          <w:lang w:val="en-US" w:eastAsia="zh-CN"/>
        </w:rPr>
        <w:t>流程：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一</w:t>
      </w:r>
      <w:r>
        <w:rPr>
          <w:rFonts w:hint="eastAsia"/>
          <w:lang w:val="en-US" w:eastAsia="zh-CN"/>
        </w:rPr>
        <w:t>）</w:t>
      </w:r>
      <w:r>
        <w:rPr>
          <w:rFonts w:hint="default"/>
          <w:lang w:val="en-US" w:eastAsia="zh-CN"/>
        </w:rPr>
        <w:t>.单位注册-</w:t>
      </w:r>
      <w:r>
        <w:rPr>
          <w:rFonts w:hint="eastAsia"/>
          <w:lang w:val="en-US" w:eastAsia="zh-CN"/>
        </w:rPr>
        <w:t>维护单位材料-</w:t>
      </w:r>
      <w:r>
        <w:rPr>
          <w:rFonts w:hint="default"/>
          <w:lang w:val="en-US" w:eastAsia="zh-CN"/>
        </w:rPr>
        <w:t>县</w:t>
      </w:r>
      <w:r>
        <w:rPr>
          <w:rFonts w:hint="eastAsia"/>
          <w:lang w:val="en-US" w:eastAsia="zh-CN"/>
        </w:rPr>
        <w:t>人社</w:t>
      </w:r>
      <w:r>
        <w:rPr>
          <w:rFonts w:hint="default"/>
          <w:lang w:val="en-US" w:eastAsia="zh-CN"/>
        </w:rPr>
        <w:t>局审核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二</w:t>
      </w:r>
      <w:r>
        <w:rPr>
          <w:rFonts w:hint="eastAsia"/>
          <w:lang w:val="en-US" w:eastAsia="zh-CN"/>
        </w:rPr>
        <w:t>）</w:t>
      </w:r>
      <w:r>
        <w:rPr>
          <w:rFonts w:hint="default"/>
          <w:lang w:val="en-US" w:eastAsia="zh-CN"/>
        </w:rPr>
        <w:t>.个人注册-</w:t>
      </w:r>
      <w:r>
        <w:rPr>
          <w:rFonts w:hint="eastAsia"/>
          <w:lang w:val="en-US" w:eastAsia="zh-CN"/>
        </w:rPr>
        <w:t>所在</w:t>
      </w:r>
      <w:r>
        <w:rPr>
          <w:rFonts w:hint="default"/>
          <w:lang w:val="en-US" w:eastAsia="zh-CN"/>
        </w:rPr>
        <w:t>单位审核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三</w:t>
      </w:r>
      <w:r>
        <w:rPr>
          <w:rFonts w:hint="eastAsia"/>
          <w:lang w:val="en-US" w:eastAsia="zh-CN"/>
        </w:rPr>
        <w:t>）</w:t>
      </w:r>
      <w:r>
        <w:rPr>
          <w:rFonts w:hint="default"/>
          <w:lang w:val="en-US" w:eastAsia="zh-CN"/>
        </w:rPr>
        <w:t>.个人</w:t>
      </w:r>
      <w:r>
        <w:rPr>
          <w:rFonts w:hint="eastAsia"/>
          <w:lang w:val="en-US" w:eastAsia="zh-CN"/>
        </w:rPr>
        <w:t>登录-个人补助申请</w:t>
      </w:r>
      <w:r>
        <w:rPr>
          <w:rFonts w:hint="default"/>
          <w:lang w:val="en-US" w:eastAsia="zh-CN"/>
        </w:rPr>
        <w:t>-单位审核-</w:t>
      </w:r>
      <w:r>
        <w:rPr>
          <w:rFonts w:hint="eastAsia"/>
          <w:lang w:val="en-US" w:eastAsia="zh-CN"/>
        </w:rPr>
        <w:t>单位</w:t>
      </w:r>
      <w:r>
        <w:rPr>
          <w:rFonts w:hint="default"/>
          <w:lang w:val="en-US" w:eastAsia="zh-CN"/>
        </w:rPr>
        <w:t>上报县区人社局</w:t>
      </w:r>
      <w:r>
        <w:rPr>
          <w:rFonts w:hint="eastAsia"/>
          <w:lang w:val="en-US" w:eastAsia="zh-CN"/>
        </w:rPr>
        <w:t>服务专员</w:t>
      </w:r>
      <w:r>
        <w:rPr>
          <w:rFonts w:hint="default"/>
          <w:lang w:val="en-US" w:eastAsia="zh-CN"/>
        </w:rPr>
        <w:t>-县</w:t>
      </w:r>
      <w:r>
        <w:rPr>
          <w:rFonts w:hint="eastAsia"/>
          <w:lang w:val="en-US" w:eastAsia="zh-CN"/>
        </w:rPr>
        <w:t>区服务专员</w:t>
      </w:r>
      <w:r>
        <w:rPr>
          <w:rFonts w:hint="default"/>
          <w:lang w:val="en-US" w:eastAsia="zh-CN"/>
        </w:rPr>
        <w:t>审核-</w:t>
      </w:r>
      <w:r>
        <w:rPr>
          <w:rFonts w:hint="eastAsia"/>
          <w:lang w:val="en-US" w:eastAsia="zh-CN"/>
        </w:rPr>
        <w:t>县区负责人-县区负责人审核-市服务专员-市服务专员审核-市负责人-市负责人审核-打印</w:t>
      </w:r>
    </w:p>
    <w:p>
      <w:pPr>
        <w:pStyle w:val="4"/>
        <w:numPr>
          <w:ilvl w:val="0"/>
          <w:numId w:val="5"/>
        </w:numPr>
        <w:bidi w:val="0"/>
        <w:outlineLvl w:val="1"/>
        <w:rPr>
          <w:rFonts w:hint="default"/>
          <w:b/>
          <w:lang w:val="en-US" w:eastAsia="zh-CN"/>
        </w:rPr>
      </w:pPr>
      <w:bookmarkStart w:id="25" w:name="_Toc1675"/>
      <w:r>
        <w:rPr>
          <w:rFonts w:hint="eastAsia"/>
          <w:b/>
          <w:lang w:val="en-US" w:eastAsia="zh-CN"/>
        </w:rPr>
        <w:t>系统管理</w:t>
      </w:r>
      <w:bookmarkEnd w:id="25"/>
    </w:p>
    <w:p>
      <w:pPr>
        <w:rPr>
          <w:rFonts w:hint="eastAsia"/>
          <w:lang w:val="en-US" w:eastAsia="zh-CN"/>
        </w:rPr>
      </w:pPr>
      <w:r>
        <w:rPr>
          <w:rFonts w:hint="eastAsia"/>
          <w:b/>
          <w:lang w:val="en-US" w:eastAsia="zh-CN"/>
        </w:rPr>
        <w:t xml:space="preserve"> </w:t>
      </w:r>
      <w:r>
        <w:rPr>
          <w:rFonts w:hint="eastAsia"/>
          <w:lang w:val="en-US" w:eastAsia="zh-CN"/>
        </w:rPr>
        <w:t>点击系统下方的【系统管理】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单位信息维护：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可以维护单位基本信息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1440180"/>
            <wp:effectExtent l="0" t="0" r="10160" b="7620"/>
            <wp:docPr id="56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单位用户管理：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可以对单位账号进行操作</w:t>
      </w:r>
    </w:p>
    <w:p>
      <w:pPr>
        <w:rPr>
          <w:rFonts w:hint="default"/>
          <w:b/>
          <w:lang w:val="en-US" w:eastAsia="zh-CN"/>
        </w:rPr>
      </w:pPr>
      <w:r>
        <w:drawing>
          <wp:inline distT="0" distB="0" distL="114300" distR="114300">
            <wp:extent cx="5274310" cy="919480"/>
            <wp:effectExtent l="0" t="0" r="2540" b="13970"/>
            <wp:docPr id="57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5"/>
        </w:numPr>
        <w:bidi w:val="0"/>
        <w:outlineLvl w:val="1"/>
        <w:rPr>
          <w:rFonts w:hint="eastAsia"/>
          <w:b/>
          <w:lang w:val="en-US" w:eastAsia="zh-CN"/>
        </w:rPr>
      </w:pPr>
      <w:bookmarkStart w:id="26" w:name="_Toc7458"/>
      <w:bookmarkStart w:id="27" w:name="_Toc1865"/>
      <w:r>
        <w:rPr>
          <w:rFonts w:hint="eastAsia"/>
          <w:b/>
          <w:lang w:val="en-US" w:eastAsia="zh-CN"/>
        </w:rPr>
        <w:t>个人注册信息审核</w:t>
      </w:r>
      <w:bookmarkEnd w:id="26"/>
      <w:bookmarkEnd w:id="27"/>
    </w:p>
    <w:p>
      <w:pPr>
        <w:rPr>
          <w:rFonts w:hint="default"/>
          <w:lang w:val="en-US" w:eastAsia="zh-CN"/>
        </w:rPr>
      </w:pPr>
      <w:r>
        <w:rPr>
          <w:rFonts w:hint="eastAsia"/>
          <w:b/>
          <w:lang w:val="en-US" w:eastAsia="zh-CN"/>
        </w:rPr>
        <w:t xml:space="preserve">  功能位置：左侧待办事项或者首页-业务办理-个人注册审核</w:t>
      </w:r>
    </w:p>
    <w:p>
      <w:pPr>
        <w:ind w:firstLine="64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单位的人员在单位注册且人社局审核通过之后，人员就可以注册这个人账号了。个人注册后需要注册时选择的单位到审核。</w:t>
      </w:r>
    </w:p>
    <w:p>
      <w:pPr>
        <w:ind w:firstLine="64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单位审核步骤为：</w:t>
      </w:r>
    </w:p>
    <w:p>
      <w:pPr>
        <w:numPr>
          <w:ilvl w:val="0"/>
          <w:numId w:val="6"/>
        </w:numPr>
        <w:ind w:firstLine="64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系统首页-普通登录选择【单位登录】-点击【登录】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048250" cy="4457700"/>
            <wp:effectExtent l="0" t="0" r="0" b="0"/>
            <wp:docPr id="58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0" w:leftChars="0" w:firstLine="64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登录之后在左侧待办事项会看到：您有【</w:t>
      </w:r>
      <w:r>
        <w:rPr>
          <w:rFonts w:hint="eastAsia"/>
          <w:lang w:val="en-US" w:eastAsia="zh-CN"/>
        </w:rPr>
        <w:t>X</w:t>
      </w:r>
      <w:r>
        <w:rPr>
          <w:rFonts w:hint="default"/>
          <w:lang w:val="en-US" w:eastAsia="zh-CN"/>
        </w:rPr>
        <w:t>】个个人注册账号待审核，点击即可。</w:t>
      </w:r>
    </w:p>
    <w:p>
      <w:pPr>
        <w:numPr>
          <w:ilvl w:val="0"/>
          <w:numId w:val="6"/>
        </w:numPr>
        <w:ind w:left="0" w:leftChars="0" w:firstLine="64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或者点击业务办理的【个人注册审核】，2和3都会看到待审核的个人注册信息包含账号、证件类型、证件号码等信息；</w:t>
      </w:r>
    </w:p>
    <w:p>
      <w:pPr>
        <w:numPr>
          <w:ilvl w:val="0"/>
          <w:numId w:val="0"/>
        </w:numPr>
        <w:ind w:leftChars="20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533015"/>
            <wp:effectExtent l="0" t="0" r="5080" b="635"/>
            <wp:docPr id="59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0" w:leftChars="0" w:firstLine="64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确认无误后</w:t>
      </w:r>
      <w:r>
        <w:rPr>
          <w:rFonts w:hint="default"/>
          <w:lang w:val="en-US" w:eastAsia="zh-CN"/>
        </w:rPr>
        <w:t>，</w:t>
      </w:r>
      <w:r>
        <w:rPr>
          <w:rFonts w:hint="eastAsia"/>
          <w:lang w:val="en-US" w:eastAsia="zh-CN"/>
        </w:rPr>
        <w:t>勾选数据，</w:t>
      </w:r>
      <w:r>
        <w:rPr>
          <w:rFonts w:hint="default"/>
          <w:lang w:val="en-US" w:eastAsia="zh-CN"/>
        </w:rPr>
        <w:t>点击【审核】，</w:t>
      </w:r>
      <w:r>
        <w:rPr>
          <w:rFonts w:hint="eastAsia"/>
          <w:lang w:val="en-US" w:eastAsia="zh-CN"/>
        </w:rPr>
        <w:t>可以多选进行审核。</w:t>
      </w:r>
      <w:r>
        <w:rPr>
          <w:rFonts w:hint="default"/>
          <w:lang w:val="en-US" w:eastAsia="zh-CN"/>
        </w:rPr>
        <w:t>审核通过则个人注册成功可以经办接下来的业务，退回修改则去修改后再提交</w:t>
      </w:r>
    </w:p>
    <w:p>
      <w:pPr>
        <w:ind w:firstLine="640" w:firstLine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260340" cy="2593340"/>
            <wp:effectExtent l="0" t="0" r="16510" b="16510"/>
            <wp:docPr id="60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5"/>
        </w:numPr>
        <w:bidi w:val="0"/>
        <w:outlineLvl w:val="1"/>
        <w:rPr>
          <w:rFonts w:hint="default"/>
          <w:b/>
          <w:color w:val="auto"/>
          <w:lang w:val="en-US" w:eastAsia="zh-CN"/>
        </w:rPr>
      </w:pPr>
      <w:bookmarkStart w:id="28" w:name="_Toc7944"/>
      <w:bookmarkStart w:id="29" w:name="_Toc4500"/>
      <w:r>
        <w:rPr>
          <w:rFonts w:hint="eastAsia"/>
          <w:b/>
          <w:color w:val="auto"/>
          <w:lang w:val="en-US" w:eastAsia="zh-CN"/>
        </w:rPr>
        <w:t>单位负责人审核</w:t>
      </w:r>
      <w:bookmarkEnd w:id="28"/>
      <w:bookmarkEnd w:id="29"/>
    </w:p>
    <w:p>
      <w:pPr>
        <w:rPr>
          <w:rFonts w:hint="default"/>
          <w:lang w:val="en-US" w:eastAsia="zh-CN"/>
        </w:rPr>
      </w:pPr>
      <w:r>
        <w:rPr>
          <w:rFonts w:hint="eastAsia"/>
          <w:b/>
          <w:lang w:val="en-US" w:eastAsia="zh-CN"/>
        </w:rPr>
        <w:t xml:space="preserve">  功能位置：左侧待办事项或者首页-业务办理-单位负责人审核</w:t>
      </w:r>
    </w:p>
    <w:p>
      <w:pPr>
        <w:rPr>
          <w:rFonts w:hint="eastAsia"/>
          <w:lang w:val="en-US" w:eastAsia="zh-CN"/>
        </w:rPr>
      </w:pPr>
      <w:r>
        <w:rPr>
          <w:rFonts w:hint="eastAsia"/>
          <w:b/>
          <w:color w:val="auto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个人在注册账号且单位审核通过之后，单位人员即可进行补助申请，申请提交之后需要所在单位进行审核。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补助申报审核步骤为：</w:t>
      </w:r>
    </w:p>
    <w:p>
      <w:pPr>
        <w:numPr>
          <w:ilvl w:val="0"/>
          <w:numId w:val="7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单位工作人员登录系统，登录之后在左侧待办事项会看到：您有【</w:t>
      </w:r>
      <w:r>
        <w:rPr>
          <w:rFonts w:hint="eastAsia"/>
          <w:lang w:val="en-US" w:eastAsia="zh-CN"/>
        </w:rPr>
        <w:t>X</w:t>
      </w:r>
      <w:r>
        <w:rPr>
          <w:rFonts w:hint="default"/>
          <w:lang w:val="en-US" w:eastAsia="zh-CN"/>
        </w:rPr>
        <w:t>】个</w:t>
      </w:r>
      <w:r>
        <w:rPr>
          <w:rFonts w:hint="eastAsia"/>
          <w:lang w:val="en-US" w:eastAsia="zh-CN"/>
        </w:rPr>
        <w:t>渤海英才卡</w:t>
      </w:r>
      <w:r>
        <w:rPr>
          <w:rFonts w:hint="default"/>
          <w:lang w:val="en-US" w:eastAsia="zh-CN"/>
        </w:rPr>
        <w:t>申请待审核，点击即可。</w:t>
      </w:r>
    </w:p>
    <w:p>
      <w:pPr>
        <w:numPr>
          <w:ilvl w:val="0"/>
          <w:numId w:val="7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或者点击业务办理的【</w:t>
      </w:r>
      <w:r>
        <w:rPr>
          <w:rFonts w:hint="eastAsia"/>
          <w:lang w:val="en-US" w:eastAsia="zh-CN"/>
        </w:rPr>
        <w:t>单位负责人</w:t>
      </w:r>
      <w:r>
        <w:rPr>
          <w:rFonts w:hint="default"/>
          <w:lang w:val="en-US" w:eastAsia="zh-CN"/>
        </w:rPr>
        <w:t>审核】，2和3都会看到待审核的</w:t>
      </w:r>
      <w:r>
        <w:rPr>
          <w:rFonts w:hint="eastAsia"/>
          <w:lang w:val="en-US" w:eastAsia="zh-CN"/>
        </w:rPr>
        <w:t>渤海英才卡</w:t>
      </w:r>
      <w:r>
        <w:rPr>
          <w:rFonts w:hint="default"/>
          <w:lang w:val="en-US" w:eastAsia="zh-CN"/>
        </w:rPr>
        <w:t>申请包含</w:t>
      </w:r>
      <w:r>
        <w:rPr>
          <w:rFonts w:hint="eastAsia"/>
          <w:lang w:val="en-US" w:eastAsia="zh-CN"/>
        </w:rPr>
        <w:t>中文名</w:t>
      </w:r>
      <w:r>
        <w:rPr>
          <w:rFonts w:hint="default"/>
          <w:lang w:val="en-US" w:eastAsia="zh-CN"/>
        </w:rPr>
        <w:t>、证件号码</w:t>
      </w:r>
      <w:r>
        <w:rPr>
          <w:rFonts w:hint="eastAsia"/>
          <w:lang w:val="en-US" w:eastAsia="zh-CN"/>
        </w:rPr>
        <w:t>、性别、服务专员姓名、服务专员联系方式等信息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1610" cy="2106295"/>
            <wp:effectExtent l="0" t="0" r="15240" b="8255"/>
            <wp:docPr id="61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2573655"/>
            <wp:effectExtent l="0" t="0" r="10795" b="17145"/>
            <wp:docPr id="62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0" w:leftChars="0" w:firstLine="0" w:firstLineChars="0"/>
      </w:pPr>
      <w:r>
        <w:rPr>
          <w:rFonts w:hint="default"/>
          <w:lang w:val="en-US" w:eastAsia="zh-CN"/>
        </w:rPr>
        <w:t>点击【查看详情】可以查看个人申请的信息，也可查看个人材料，</w:t>
      </w:r>
      <w:r>
        <w:rPr>
          <w:rFonts w:hint="eastAsia"/>
          <w:lang w:val="en-US" w:eastAsia="zh-CN"/>
        </w:rPr>
        <w:t>并支持预览和下载（点击预览后可以下载）</w:t>
      </w:r>
      <w:r>
        <w:rPr>
          <w:rFonts w:hint="default"/>
          <w:lang w:val="en-US" w:eastAsia="zh-CN"/>
        </w:rPr>
        <w:t>；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3161665"/>
            <wp:effectExtent l="0" t="0" r="3810" b="635"/>
            <wp:docPr id="63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查看后，</w:t>
      </w:r>
      <w:r>
        <w:rPr>
          <w:rFonts w:hint="eastAsia"/>
          <w:lang w:val="en-US" w:eastAsia="zh-CN"/>
        </w:rPr>
        <w:t>勾选人员，</w:t>
      </w:r>
      <w:r>
        <w:rPr>
          <w:rFonts w:hint="default"/>
          <w:lang w:val="en-US" w:eastAsia="zh-CN"/>
        </w:rPr>
        <w:t>点击【审核</w:t>
      </w:r>
      <w:r>
        <w:rPr>
          <w:rFonts w:hint="eastAsia"/>
          <w:lang w:val="en-US" w:eastAsia="zh-CN"/>
        </w:rPr>
        <w:t>通过</w:t>
      </w:r>
      <w:r>
        <w:rPr>
          <w:rFonts w:hint="default"/>
          <w:lang w:val="en-US" w:eastAsia="zh-CN"/>
        </w:rPr>
        <w:t>】，审核通过则</w:t>
      </w:r>
      <w:r>
        <w:rPr>
          <w:rFonts w:hint="eastAsia"/>
          <w:lang w:val="en-US" w:eastAsia="zh-CN"/>
        </w:rPr>
        <w:t>直接推送到人社局审核</w:t>
      </w:r>
      <w:r>
        <w:rPr>
          <w:rFonts w:hint="default"/>
          <w:lang w:val="en-US" w:eastAsia="zh-CN"/>
        </w:rPr>
        <w:t>，退回修改则去修改后再提交；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4310" cy="2573655"/>
            <wp:effectExtent l="0" t="0" r="2540" b="17145"/>
            <wp:docPr id="64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审核通过以后，需要点击【已通过】按钮导航到审核已通过目录，选择已经通过人员点击【导出《“渤海英才服务卡”申领人员汇总表》】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56530" cy="1405890"/>
            <wp:effectExtent l="0" t="0" r="127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表格样式如下：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150" cy="1122680"/>
            <wp:effectExtent l="0" t="0" r="12700" b="12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下载以后，打印汇总表然后单位盖章以后拍照或者扫描以后点击上传汇总表，汇总表上传必须为当前申报人员，不能重复上传，此汇总表为人社局审核材料，误必上传。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0340" cy="1761490"/>
            <wp:effectExtent l="0" t="0" r="16510" b="1016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0340" cy="1590040"/>
            <wp:effectExtent l="0" t="0" r="16510" b="1016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675" cy="3115310"/>
            <wp:effectExtent l="0" t="0" r="3175" b="889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上传完附件关闭材料清单页面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3067685"/>
            <wp:effectExtent l="0" t="0" r="7620" b="1841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6）</w:t>
      </w:r>
      <w:r>
        <w:rPr>
          <w:rFonts w:hint="default"/>
          <w:lang w:val="en-US" w:eastAsia="zh-CN"/>
        </w:rPr>
        <w:t>单位审核通过之后可在查询统计-</w:t>
      </w:r>
      <w:r>
        <w:rPr>
          <w:rFonts w:hint="eastAsia"/>
          <w:lang w:val="en-US" w:eastAsia="zh-CN"/>
        </w:rPr>
        <w:t>单位端申报信息查询</w:t>
      </w:r>
      <w:r>
        <w:rPr>
          <w:rFonts w:hint="default"/>
          <w:lang w:val="en-US" w:eastAsia="zh-CN"/>
        </w:rPr>
        <w:t>中查询本单位的人员申请信息。</w:t>
      </w:r>
    </w:p>
    <w:p>
      <w:r>
        <w:drawing>
          <wp:inline distT="0" distB="0" distL="114300" distR="114300">
            <wp:extent cx="5270500" cy="1817370"/>
            <wp:effectExtent l="0" t="0" r="6350" b="11430"/>
            <wp:docPr id="65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57800" cy="1252855"/>
            <wp:effectExtent l="0" t="0" r="0" b="4445"/>
            <wp:docPr id="66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0"/>
          <w:numId w:val="5"/>
        </w:numPr>
        <w:bidi w:val="0"/>
        <w:outlineLvl w:val="1"/>
        <w:rPr>
          <w:rFonts w:hint="default"/>
          <w:b/>
          <w:color w:val="auto"/>
          <w:lang w:val="en-US" w:eastAsia="zh-CN"/>
        </w:rPr>
      </w:pPr>
      <w:bookmarkStart w:id="30" w:name="_Toc21201"/>
      <w:r>
        <w:rPr>
          <w:rFonts w:hint="eastAsia"/>
          <w:b/>
          <w:color w:val="auto"/>
          <w:lang w:val="en-US" w:eastAsia="zh-CN"/>
        </w:rPr>
        <w:t>单位端申报信息查询</w:t>
      </w:r>
      <w:bookmarkEnd w:id="30"/>
    </w:p>
    <w:p>
      <w:pPr>
        <w:rPr>
          <w:rFonts w:hint="default"/>
          <w:lang w:val="en-US" w:eastAsia="zh-CN"/>
        </w:rPr>
      </w:pPr>
      <w:r>
        <w:rPr>
          <w:rFonts w:hint="eastAsia"/>
          <w:b/>
          <w:lang w:val="en-US" w:eastAsia="zh-CN"/>
        </w:rPr>
        <w:t xml:space="preserve">  功能位置：查询统计-单位端申报信息查询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此功能可以查询单位下所有人的申报信息。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57800" cy="1252855"/>
            <wp:effectExtent l="0" t="0" r="0" b="4445"/>
            <wp:docPr id="67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1" w:name="_Toc4350"/>
    </w:p>
    <w:p>
      <w:pPr>
        <w:pStyle w:val="3"/>
        <w:numPr>
          <w:ilvl w:val="0"/>
          <w:numId w:val="1"/>
        </w:numPr>
        <w:bidi w:val="0"/>
        <w:outlineLvl w:val="0"/>
        <w:rPr>
          <w:rFonts w:hint="default"/>
          <w:b/>
          <w:sz w:val="36"/>
          <w:szCs w:val="28"/>
          <w:lang w:val="en-US" w:eastAsia="zh-CN"/>
        </w:rPr>
      </w:pPr>
      <w:bookmarkStart w:id="32" w:name="_Toc7596"/>
      <w:r>
        <w:rPr>
          <w:rFonts w:hint="eastAsia"/>
          <w:b/>
          <w:sz w:val="36"/>
          <w:szCs w:val="28"/>
          <w:lang w:val="en-US" w:eastAsia="zh-CN"/>
        </w:rPr>
        <w:t>退出系统</w:t>
      </w:r>
      <w:bookmarkEnd w:id="31"/>
      <w:bookmarkEnd w:id="32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点击系统右上角的【注销】，即可退出系统。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1215390"/>
            <wp:effectExtent l="0" t="0" r="12700" b="3810"/>
            <wp:docPr id="68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rPr>
          <w:rFonts w:hint="default"/>
          <w:b/>
          <w:color w:val="auto"/>
          <w:lang w:val="en-US" w:eastAsia="zh-CN"/>
        </w:rPr>
      </w:pPr>
    </w:p>
    <w:p/>
    <w:sectPr>
      <w:footerReference r:id="rId6" w:type="default"/>
      <w:pgSz w:w="11906" w:h="16838"/>
      <w:pgMar w:top="1440" w:right="1800" w:bottom="1440" w:left="1800" w:header="851" w:footer="992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="仿宋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4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zql5uc8AAAAFAQAA&#10;DwAAAAAAAAABACAAAAAiAAAAZHJzL2Rvd25yZXYueG1sUEsBAhQAFAAAAAgAh07iQI4ZZ3ywAQAA&#10;TQMAAA4AAAAAAAAAAQAgAAAAHgEAAGRycy9lMm9Eb2MueG1sUEsFBgAAAAAGAAYAWQEAAEAFAAAA&#10;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="仿宋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4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rFonts w:ascii="宋体" w:hAnsi="宋体" w:cs="宋体"/>
        <w:kern w:val="0"/>
        <w:sz w:val="24"/>
      </w:rPr>
      <w:fldChar w:fldCharType="begin"/>
    </w:r>
    <w:r>
      <w:instrText xml:space="preserve"> INCLUDEPICTURE "F:\\UserData\\My Documents\\WeChat Files\\Lc18364971129\\FileStorage\\File\\2020-01\\AppData\\Roaming\\Tencent\\Users\\824895983\\QQ\\WinTemp\\RichOle\\6J%5b2SXXVH9)AY7P6LJ%7bC4Q7.png" \* MERGEFORMAT </w:instrText>
    </w:r>
    <w:r>
      <w:rPr>
        <w:rFonts w:ascii="宋体" w:hAnsi="宋体" w:cs="宋体"/>
        <w:kern w:val="0"/>
        <w:sz w:val="24"/>
      </w:rPr>
      <w:fldChar w:fldCharType="separate"/>
    </w:r>
    <w:r>
      <w:rPr>
        <w:rFonts w:ascii="宋体" w:hAnsi="宋体" w:cs="宋体"/>
        <w:kern w:val="0"/>
        <w:sz w:val="24"/>
      </w:rPr>
      <w:drawing>
        <wp:inline distT="0" distB="0" distL="114300" distR="114300">
          <wp:extent cx="1789430" cy="539115"/>
          <wp:effectExtent l="0" t="0" r="1270" b="13335"/>
          <wp:docPr id="3" name="图片 1" descr="6J[2SXXVH9)AY7P6LJ{C4Q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1" descr="6J[2SXXVH9)AY7P6LJ{C4Q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943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宋体" w:hAnsi="宋体" w:cs="宋体"/>
        <w:kern w:val="0"/>
        <w:sz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090748F"/>
    <w:multiLevelType w:val="singleLevel"/>
    <w:tmpl w:val="9090748F"/>
    <w:lvl w:ilvl="0" w:tentative="0">
      <w:start w:val="6"/>
      <w:numFmt w:val="decimal"/>
      <w:suff w:val="nothing"/>
      <w:lvlText w:val="%1）"/>
      <w:lvlJc w:val="left"/>
    </w:lvl>
  </w:abstractNum>
  <w:abstractNum w:abstractNumId="1">
    <w:nsid w:val="DF820F8F"/>
    <w:multiLevelType w:val="singleLevel"/>
    <w:tmpl w:val="DF820F8F"/>
    <w:lvl w:ilvl="0" w:tentative="0">
      <w:start w:val="1"/>
      <w:numFmt w:val="chineseCounting"/>
      <w:suff w:val="nothing"/>
      <w:lvlText w:val="%1．"/>
      <w:lvlJc w:val="left"/>
      <w:rPr>
        <w:rFonts w:hint="eastAsia"/>
      </w:rPr>
    </w:lvl>
  </w:abstractNum>
  <w:abstractNum w:abstractNumId="2">
    <w:nsid w:val="F3259DE2"/>
    <w:multiLevelType w:val="singleLevel"/>
    <w:tmpl w:val="F3259DE2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0DD6003F"/>
    <w:multiLevelType w:val="singleLevel"/>
    <w:tmpl w:val="0DD6003F"/>
    <w:lvl w:ilvl="0" w:tentative="0">
      <w:start w:val="1"/>
      <w:numFmt w:val="decimal"/>
      <w:suff w:val="nothing"/>
      <w:lvlText w:val="%1）"/>
      <w:lvlJc w:val="left"/>
    </w:lvl>
  </w:abstractNum>
  <w:abstractNum w:abstractNumId="4">
    <w:nsid w:val="21B41BF8"/>
    <w:multiLevelType w:val="singleLevel"/>
    <w:tmpl w:val="21B41BF8"/>
    <w:lvl w:ilvl="0" w:tentative="0">
      <w:start w:val="1"/>
      <w:numFmt w:val="decimal"/>
      <w:suff w:val="nothing"/>
      <w:lvlText w:val="%1）"/>
      <w:lvlJc w:val="left"/>
    </w:lvl>
  </w:abstractNum>
  <w:abstractNum w:abstractNumId="5">
    <w:nsid w:val="28DD4403"/>
    <w:multiLevelType w:val="singleLevel"/>
    <w:tmpl w:val="28DD4403"/>
    <w:lvl w:ilvl="0" w:tentative="0">
      <w:start w:val="1"/>
      <w:numFmt w:val="decimal"/>
      <w:suff w:val="nothing"/>
      <w:lvlText w:val="%1）"/>
      <w:lvlJc w:val="left"/>
    </w:lvl>
  </w:abstractNum>
  <w:abstractNum w:abstractNumId="6">
    <w:nsid w:val="7153C33A"/>
    <w:multiLevelType w:val="singleLevel"/>
    <w:tmpl w:val="7153C33A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6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586A5E"/>
    <w:rsid w:val="18BD23CE"/>
    <w:rsid w:val="18C50FEA"/>
    <w:rsid w:val="25C50C5A"/>
    <w:rsid w:val="27B31E35"/>
    <w:rsid w:val="30A2649E"/>
    <w:rsid w:val="3ABE1308"/>
    <w:rsid w:val="3DAD5AA5"/>
    <w:rsid w:val="3E862E9A"/>
    <w:rsid w:val="472232C7"/>
    <w:rsid w:val="486B1EF9"/>
    <w:rsid w:val="49D30CFE"/>
    <w:rsid w:val="4C331960"/>
    <w:rsid w:val="4E8439FC"/>
    <w:rsid w:val="511F4C90"/>
    <w:rsid w:val="542B2241"/>
    <w:rsid w:val="5D955DF3"/>
    <w:rsid w:val="60257741"/>
    <w:rsid w:val="730E79AB"/>
    <w:rsid w:val="785127B4"/>
    <w:rsid w:val="79D74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仿宋" w:cs="Times New Roman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jc w:val="center"/>
      <w:outlineLvl w:val="0"/>
    </w:pPr>
    <w:rPr>
      <w:rFonts w:ascii="Calibri" w:hAnsi="Calibri" w:eastAsia="黑体"/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iPriority w:val="0"/>
    <w:pPr>
      <w:ind w:left="840" w:leftChars="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paragraph" w:styleId="10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3">
    <w:name w:val="FollowedHyperlink"/>
    <w:basedOn w:val="12"/>
    <w:qFormat/>
    <w:uiPriority w:val="0"/>
    <w:rPr>
      <w:color w:val="800080"/>
      <w:u w:val="none"/>
    </w:rPr>
  </w:style>
  <w:style w:type="character" w:styleId="14">
    <w:name w:val="Hyperlink"/>
    <w:basedOn w:val="12"/>
    <w:uiPriority w:val="0"/>
    <w:rPr>
      <w:color w:val="0000FF"/>
      <w:u w:val="none"/>
    </w:rPr>
  </w:style>
  <w:style w:type="character" w:customStyle="1" w:styleId="15">
    <w:name w:val="hover"/>
    <w:basedOn w:val="12"/>
    <w:uiPriority w:val="0"/>
    <w:rPr>
      <w:color w:val="FFFFFF"/>
    </w:rPr>
  </w:style>
  <w:style w:type="character" w:customStyle="1" w:styleId="16">
    <w:name w:val="hover1"/>
    <w:basedOn w:val="12"/>
    <w:uiPriority w:val="0"/>
    <w:rPr>
      <w:color w:val="5FB878"/>
    </w:rPr>
  </w:style>
  <w:style w:type="character" w:customStyle="1" w:styleId="17">
    <w:name w:val="hover2"/>
    <w:basedOn w:val="12"/>
    <w:uiPriority w:val="0"/>
    <w:rPr>
      <w:color w:val="5FB878"/>
    </w:rPr>
  </w:style>
  <w:style w:type="character" w:customStyle="1" w:styleId="18">
    <w:name w:val="edui-clickable2"/>
    <w:basedOn w:val="12"/>
    <w:uiPriority w:val="0"/>
    <w:rPr>
      <w:color w:val="0000FF"/>
      <w:u w:val="single"/>
    </w:rPr>
  </w:style>
  <w:style w:type="character" w:customStyle="1" w:styleId="19">
    <w:name w:val="edui-unclickable"/>
    <w:basedOn w:val="12"/>
    <w:qFormat/>
    <w:uiPriority w:val="0"/>
    <w:rPr>
      <w:color w:val="808080"/>
    </w:rPr>
  </w:style>
  <w:style w:type="character" w:customStyle="1" w:styleId="20">
    <w:name w:val="button"/>
    <w:basedOn w:val="12"/>
    <w:qFormat/>
    <w:uiPriority w:val="0"/>
  </w:style>
  <w:style w:type="character" w:customStyle="1" w:styleId="21">
    <w:name w:val="tmpztreemove_arrow"/>
    <w:basedOn w:val="12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4.png"/><Relationship Id="rId4" Type="http://schemas.openxmlformats.org/officeDocument/2006/relationships/footer" Target="footer1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SUN</dc:creator>
  <cp:lastModifiedBy>小刚</cp:lastModifiedBy>
  <dcterms:modified xsi:type="dcterms:W3CDTF">2020-08-31T03:16:39Z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