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sz w:val="56"/>
          <w:szCs w:val="36"/>
          <w:lang w:val="en-US" w:eastAsia="zh-CN"/>
        </w:rPr>
      </w:pPr>
      <w:bookmarkStart w:id="0" w:name="_Toc15833"/>
      <w:bookmarkStart w:id="1" w:name="_Toc25891"/>
      <w:bookmarkStart w:id="2" w:name="_Toc25234"/>
      <w:bookmarkStart w:id="3" w:name="_Toc2223"/>
      <w:bookmarkStart w:id="4" w:name="_Toc20462"/>
      <w:bookmarkStart w:id="5" w:name="_Toc18688"/>
      <w:r>
        <w:rPr>
          <w:rFonts w:hint="eastAsia"/>
          <w:sz w:val="56"/>
          <w:szCs w:val="36"/>
          <w:lang w:val="en-US" w:eastAsia="zh-CN"/>
        </w:rPr>
        <w:t>滨州市</w:t>
      </w:r>
      <w:bookmarkEnd w:id="0"/>
      <w:bookmarkEnd w:id="1"/>
      <w:bookmarkEnd w:id="2"/>
      <w:bookmarkEnd w:id="3"/>
      <w:bookmarkStart w:id="6" w:name="_Toc10228"/>
      <w:bookmarkStart w:id="7" w:name="_Toc28868"/>
      <w:bookmarkStart w:id="8" w:name="_Toc24878"/>
      <w:bookmarkStart w:id="9" w:name="_Toc7323"/>
      <w:r>
        <w:rPr>
          <w:rFonts w:hint="eastAsia"/>
          <w:sz w:val="56"/>
          <w:szCs w:val="36"/>
          <w:lang w:val="en-US" w:eastAsia="zh-CN"/>
        </w:rPr>
        <w:t>渤海英才卡系统操作手册</w:t>
      </w:r>
      <w:bookmarkEnd w:id="6"/>
      <w:bookmarkEnd w:id="7"/>
      <w:bookmarkEnd w:id="8"/>
      <w:bookmarkEnd w:id="9"/>
      <w:r>
        <w:rPr>
          <w:rFonts w:hint="eastAsia"/>
          <w:sz w:val="56"/>
          <w:szCs w:val="36"/>
          <w:lang w:val="en-US" w:eastAsia="zh-CN"/>
        </w:rPr>
        <w:t>-通用篇</w:t>
      </w:r>
      <w:bookmarkEnd w:id="4"/>
      <w:bookmarkEnd w:id="5"/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sz w:val="56"/>
          <w:szCs w:val="36"/>
          <w:lang w:val="en-US" w:eastAsia="zh-CN"/>
        </w:rPr>
        <w:t>V1.0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滨州市人力资源和社会保障局</w:t>
      </w: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山大地纬软件股份有限公司</w:t>
      </w:r>
    </w:p>
    <w:p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2020年7月</w:t>
      </w:r>
    </w:p>
    <w:p>
      <w:pPr>
        <w:widowControl w:val="0"/>
        <w:pBdr>
          <w:top w:val="single" w:color="auto" w:sz="6" w:space="13"/>
        </w:pBdr>
        <w:overflowPunct/>
        <w:autoSpaceDE/>
        <w:autoSpaceDN/>
        <w:adjustRightInd/>
        <w:spacing w:before="0" w:after="0" w:line="360" w:lineRule="auto"/>
        <w:textAlignment w:val="auto"/>
        <w:rPr>
          <w:rFonts w:hint="eastAsia" w:ascii="微软雅黑" w:hAnsi="微软雅黑" w:eastAsia="微软雅黑"/>
          <w:b/>
          <w:color w:val="000000"/>
          <w:kern w:val="2"/>
          <w:sz w:val="28"/>
          <w:szCs w:val="28"/>
          <w:lang w:val="fr-FR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720" w:num="1"/>
          <w:docGrid w:type="lines" w:linePitch="312" w:charSpace="0"/>
        </w:sectPr>
      </w:pPr>
    </w:p>
    <w:p>
      <w:pPr>
        <w:widowControl w:val="0"/>
        <w:pBdr>
          <w:top w:val="single" w:color="auto" w:sz="6" w:space="13"/>
        </w:pBdr>
        <w:overflowPunct/>
        <w:autoSpaceDE/>
        <w:autoSpaceDN/>
        <w:adjustRightInd/>
        <w:spacing w:before="0" w:after="0" w:line="360" w:lineRule="auto"/>
        <w:textAlignment w:val="auto"/>
        <w:rPr>
          <w:rFonts w:hint="eastAsia" w:ascii="Tahoma" w:hAnsi="Tahoma" w:eastAsia="宋体"/>
          <w:kern w:val="0"/>
          <w:sz w:val="28"/>
          <w:szCs w:val="20"/>
          <w:lang w:val="fr-FR" w:eastAsia="zh-CN"/>
        </w:rPr>
      </w:pPr>
      <w:r>
        <w:rPr>
          <w:rFonts w:hint="eastAsia" w:ascii="微软雅黑" w:hAnsi="微软雅黑" w:eastAsia="微软雅黑"/>
          <w:b/>
          <w:color w:val="000000"/>
          <w:kern w:val="2"/>
          <w:sz w:val="28"/>
          <w:szCs w:val="28"/>
          <w:lang w:val="fr-FR" w:eastAsia="zh-CN"/>
        </w:rPr>
        <w:t>版本记录</w:t>
      </w:r>
    </w:p>
    <w:tbl>
      <w:tblPr>
        <w:tblStyle w:val="10"/>
        <w:tblW w:w="871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346"/>
        <w:gridCol w:w="992"/>
        <w:gridCol w:w="1701"/>
        <w:gridCol w:w="467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jc w:val="center"/>
        </w:trPr>
        <w:tc>
          <w:tcPr>
            <w:tcW w:w="1346" w:type="dxa"/>
            <w:shd w:val="clear" w:color="auto" w:fill="E0E0E0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center"/>
              <w:textAlignment w:val="baseline"/>
              <w:rPr>
                <w:rFonts w:ascii="Tahoma" w:hAnsi="Tahoma" w:eastAsia="宋体" w:cs="Times New Roman"/>
                <w:b/>
                <w:color w:val="000000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Tahoma" w:hAnsi="Tahoma" w:eastAsia="宋体" w:cs="Times New Roman"/>
                <w:b/>
                <w:color w:val="000000"/>
                <w:sz w:val="21"/>
                <w:szCs w:val="21"/>
                <w:lang w:val="en-GB" w:eastAsia="zh-CN" w:bidi="ar-SA"/>
              </w:rPr>
              <w:t>日期</w:t>
            </w:r>
          </w:p>
        </w:tc>
        <w:tc>
          <w:tcPr>
            <w:tcW w:w="992" w:type="dxa"/>
            <w:shd w:val="clear" w:color="auto" w:fill="E0E0E0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center"/>
              <w:textAlignment w:val="baseline"/>
              <w:rPr>
                <w:rFonts w:ascii="Tahoma" w:hAnsi="Tahoma" w:eastAsia="宋体" w:cs="Times New Roman"/>
                <w:b/>
                <w:color w:val="000000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Tahoma" w:hAnsi="Tahoma" w:eastAsia="宋体" w:cs="Times New Roman"/>
                <w:b/>
                <w:color w:val="000000"/>
                <w:sz w:val="21"/>
                <w:szCs w:val="21"/>
                <w:lang w:val="en-GB" w:eastAsia="zh-CN" w:bidi="ar-SA"/>
              </w:rPr>
              <w:t>版本</w:t>
            </w:r>
          </w:p>
        </w:tc>
        <w:tc>
          <w:tcPr>
            <w:tcW w:w="1701" w:type="dxa"/>
            <w:shd w:val="clear" w:color="auto" w:fill="E0E0E0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center"/>
              <w:textAlignment w:val="baseline"/>
              <w:rPr>
                <w:rFonts w:ascii="Tahoma" w:hAnsi="Tahoma" w:eastAsia="宋体" w:cs="Times New Roman"/>
                <w:b/>
                <w:color w:val="000000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Tahoma" w:hAnsi="Tahoma" w:eastAsia="宋体" w:cs="Times New Roman"/>
                <w:b/>
                <w:color w:val="000000"/>
                <w:sz w:val="21"/>
                <w:szCs w:val="21"/>
                <w:lang w:val="en-GB" w:eastAsia="zh-CN" w:bidi="ar-SA"/>
              </w:rPr>
              <w:t>作者</w:t>
            </w:r>
          </w:p>
        </w:tc>
        <w:tc>
          <w:tcPr>
            <w:tcW w:w="4678" w:type="dxa"/>
            <w:shd w:val="clear" w:color="auto" w:fill="E0E0E0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center"/>
              <w:textAlignment w:val="baseline"/>
              <w:rPr>
                <w:rFonts w:ascii="Tahoma" w:hAnsi="Tahoma" w:eastAsia="宋体" w:cs="Times New Roman"/>
                <w:b/>
                <w:color w:val="000000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Tahoma" w:hAnsi="Tahoma" w:eastAsia="宋体" w:cs="Times New Roman"/>
                <w:b/>
                <w:color w:val="000000"/>
                <w:sz w:val="21"/>
                <w:szCs w:val="21"/>
                <w:lang w:val="en-GB" w:eastAsia="zh-CN" w:bidi="ar-SA"/>
              </w:rPr>
              <w:t>描述说明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jc w:val="center"/>
        </w:trPr>
        <w:tc>
          <w:tcPr>
            <w:tcW w:w="1346" w:type="dxa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center"/>
              <w:textAlignment w:val="baseline"/>
              <w:rPr>
                <w:rFonts w:hint="default" w:ascii="Tahoma" w:hAnsi="Tahoma" w:eastAsia="宋体" w:cs="Times New Roman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ahoma" w:hAnsi="Tahoma" w:eastAsia="宋体" w:cs="Times New Roman"/>
                <w:color w:val="000000"/>
                <w:sz w:val="21"/>
                <w:szCs w:val="21"/>
                <w:lang w:val="en-US" w:eastAsia="zh-CN" w:bidi="ar-SA"/>
              </w:rPr>
              <w:t>2020-07-29</w:t>
            </w:r>
          </w:p>
        </w:tc>
        <w:tc>
          <w:tcPr>
            <w:tcW w:w="992" w:type="dxa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center"/>
              <w:textAlignment w:val="baseline"/>
              <w:rPr>
                <w:rFonts w:ascii="Tahoma" w:hAnsi="Tahoma" w:eastAsia="宋体" w:cs="Times New Roman"/>
                <w:color w:val="000000"/>
                <w:sz w:val="21"/>
                <w:szCs w:val="21"/>
                <w:lang w:val="en-GB" w:eastAsia="zh-CN" w:bidi="ar-SA"/>
              </w:rPr>
            </w:pPr>
            <w:r>
              <w:rPr>
                <w:rFonts w:hint="eastAsia" w:ascii="Tahoma" w:hAnsi="Tahoma" w:eastAsia="宋体" w:cs="Times New Roman"/>
                <w:color w:val="000000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eastAsia" w:ascii="Tahoma" w:hAnsi="Tahoma" w:eastAsia="宋体" w:cs="Times New Roman"/>
                <w:color w:val="000000"/>
                <w:sz w:val="21"/>
                <w:szCs w:val="21"/>
                <w:lang w:val="en-GB" w:eastAsia="zh-CN" w:bidi="ar-SA"/>
              </w:rPr>
              <w:t>.0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center"/>
              <w:textAlignment w:val="baseline"/>
              <w:rPr>
                <w:rFonts w:hint="default" w:ascii="Tahoma" w:hAnsi="Tahoma" w:eastAsia="宋体" w:cs="Times New Roman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ahoma" w:hAnsi="Tahoma" w:eastAsia="宋体" w:cs="Times New Roman"/>
                <w:color w:val="000000"/>
                <w:sz w:val="21"/>
                <w:szCs w:val="21"/>
                <w:lang w:val="en-US" w:eastAsia="zh-CN" w:bidi="ar-SA"/>
              </w:rPr>
              <w:t>孙雪刚</w:t>
            </w:r>
          </w:p>
        </w:tc>
        <w:tc>
          <w:tcPr>
            <w:tcW w:w="4678" w:type="dxa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left"/>
              <w:textAlignment w:val="baseline"/>
              <w:rPr>
                <w:rFonts w:ascii="Tahoma" w:hAnsi="Tahoma" w:eastAsia="宋体" w:cs="Times New Roman"/>
                <w:color w:val="000000"/>
                <w:sz w:val="21"/>
                <w:szCs w:val="21"/>
                <w:lang w:val="en-GB" w:eastAsia="zh-CN" w:bidi="ar-SA"/>
              </w:rPr>
            </w:pPr>
            <w:r>
              <w:rPr>
                <w:rFonts w:ascii="Tahoma" w:hAnsi="Tahoma" w:eastAsia="宋体" w:cs="Times New Roman"/>
                <w:color w:val="000000"/>
                <w:sz w:val="21"/>
                <w:szCs w:val="21"/>
                <w:lang w:val="en-GB" w:eastAsia="zh-CN" w:bidi="ar-SA"/>
              </w:rPr>
              <w:t>创建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cantSplit/>
          <w:jc w:val="center"/>
        </w:trPr>
        <w:tc>
          <w:tcPr>
            <w:tcW w:w="1346" w:type="dxa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center"/>
              <w:textAlignment w:val="baseline"/>
              <w:rPr>
                <w:rFonts w:hint="eastAsia" w:ascii="Tahoma" w:hAnsi="Tahoma" w:eastAsia="宋体" w:cs="Times New Roman"/>
                <w:color w:val="000000"/>
                <w:sz w:val="21"/>
                <w:szCs w:val="21"/>
                <w:lang w:val="en-GB" w:eastAsia="zh-CN" w:bidi="ar-SA"/>
              </w:rPr>
            </w:pPr>
          </w:p>
        </w:tc>
        <w:tc>
          <w:tcPr>
            <w:tcW w:w="992" w:type="dxa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center"/>
              <w:textAlignment w:val="baseline"/>
              <w:rPr>
                <w:rFonts w:hint="eastAsia" w:ascii="Tahoma" w:hAnsi="Tahoma" w:eastAsia="宋体" w:cs="Times New Roman"/>
                <w:color w:val="000000"/>
                <w:sz w:val="21"/>
                <w:szCs w:val="21"/>
                <w:lang w:val="en-GB" w:eastAsia="zh-CN" w:bidi="ar-SA"/>
              </w:rPr>
            </w:pPr>
          </w:p>
        </w:tc>
        <w:tc>
          <w:tcPr>
            <w:tcW w:w="1701" w:type="dxa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center"/>
              <w:textAlignment w:val="baseline"/>
              <w:rPr>
                <w:rFonts w:hint="eastAsia" w:ascii="Tahoma" w:hAnsi="Tahoma" w:eastAsia="宋体" w:cs="Times New Roman"/>
                <w:color w:val="00000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4678" w:type="dxa"/>
            <w:noWrap w:val="0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pacing w:before="0" w:after="0" w:line="360" w:lineRule="auto"/>
              <w:jc w:val="left"/>
              <w:textAlignment w:val="baseline"/>
              <w:rPr>
                <w:rFonts w:hint="eastAsia" w:ascii="Tahoma" w:hAnsi="Tahoma" w:eastAsia="宋体" w:cs="Times New Roman"/>
                <w:color w:val="000000"/>
                <w:sz w:val="21"/>
                <w:szCs w:val="21"/>
                <w:lang w:val="en-GB" w:eastAsia="zh-CN" w:bidi="ar-SA"/>
              </w:rPr>
            </w:pP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/>
          <w:sz w:val="40"/>
          <w:szCs w:val="48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720" w:num="1"/>
          <w:docGrid w:type="lines" w:linePitch="312" w:charSpace="0"/>
        </w:sect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sz w:val="56"/>
          <w:szCs w:val="48"/>
        </w:rPr>
      </w:pPr>
    </w:p>
    <w:p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TOC \o "1-5" \h \u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_Toc20462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szCs w:val="36"/>
          <w:lang w:val="en-US" w:eastAsia="zh-CN"/>
        </w:rPr>
        <w:t>滨州市渤海英才卡系统操作手册-通用篇</w:t>
      </w:r>
      <w:r>
        <w:tab/>
      </w:r>
      <w:r>
        <w:fldChar w:fldCharType="begin"/>
      </w:r>
      <w:r>
        <w:instrText xml:space="preserve"> PAGEREF _Toc20462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_Toc7999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szCs w:val="28"/>
          <w:lang w:val="en-US" w:eastAsia="zh-CN"/>
        </w:rPr>
        <w:t>一． 整体介绍</w:t>
      </w:r>
      <w:r>
        <w:tab/>
      </w:r>
      <w:r>
        <w:fldChar w:fldCharType="begin"/>
      </w:r>
      <w:r>
        <w:instrText xml:space="preserve"> PAGEREF _Toc7999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_Toc9265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szCs w:val="28"/>
          <w:lang w:val="en-US" w:eastAsia="zh-CN"/>
        </w:rPr>
        <w:t>二． 网络环境</w:t>
      </w:r>
      <w:r>
        <w:tab/>
      </w:r>
      <w:r>
        <w:fldChar w:fldCharType="begin"/>
      </w:r>
      <w:r>
        <w:instrText xml:space="preserve"> PAGEREF _Toc9265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_Toc26333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szCs w:val="28"/>
          <w:lang w:val="en-US" w:eastAsia="zh-CN"/>
        </w:rPr>
        <w:t>三． 浏览器要求</w:t>
      </w:r>
      <w:r>
        <w:tab/>
      </w:r>
      <w:r>
        <w:fldChar w:fldCharType="begin"/>
      </w:r>
      <w:r>
        <w:instrText xml:space="preserve"> PAGEREF _Toc26333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_Toc27588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 浏览器设置</w:t>
      </w:r>
      <w:r>
        <w:tab/>
      </w:r>
      <w:r>
        <w:fldChar w:fldCharType="begin"/>
      </w:r>
      <w:r>
        <w:instrText xml:space="preserve"> PAGEREF _Toc27588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_Toc29181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1.1 </w:t>
      </w:r>
      <w:r>
        <w:rPr>
          <w:rFonts w:hint="eastAsia"/>
          <w:lang w:val="en-US" w:eastAsia="zh-CN"/>
        </w:rPr>
        <w:t>兼容性视图设置</w:t>
      </w:r>
      <w:r>
        <w:tab/>
      </w:r>
      <w:r>
        <w:fldChar w:fldCharType="begin"/>
      </w:r>
      <w:r>
        <w:instrText xml:space="preserve"> PAGEREF _Toc29181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_Toc28022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1.2 </w:t>
      </w:r>
      <w:r>
        <w:rPr>
          <w:rFonts w:hint="eastAsia"/>
          <w:lang w:val="en-US" w:eastAsia="zh-CN"/>
        </w:rPr>
        <w:t>添加可信任站点</w:t>
      </w:r>
      <w:r>
        <w:tab/>
      </w:r>
      <w:r>
        <w:fldChar w:fldCharType="begin"/>
      </w:r>
      <w:r>
        <w:instrText xml:space="preserve"> PAGEREF _Toc28022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_Toc10702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szCs w:val="28"/>
          <w:lang w:val="en-US" w:eastAsia="zh-CN"/>
        </w:rPr>
        <w:t>四． 系统登录地址</w:t>
      </w:r>
      <w:r>
        <w:tab/>
      </w:r>
      <w:r>
        <w:fldChar w:fldCharType="begin"/>
      </w:r>
      <w:r>
        <w:instrText xml:space="preserve"> PAGEREF _Toc10702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_Toc7406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szCs w:val="28"/>
          <w:lang w:val="en-US" w:eastAsia="zh-CN"/>
        </w:rPr>
        <w:t>五． 系统常用小技巧</w:t>
      </w:r>
      <w:r>
        <w:tab/>
      </w:r>
      <w:r>
        <w:fldChar w:fldCharType="begin"/>
      </w:r>
      <w:r>
        <w:instrText xml:space="preserve"> PAGEREF _Toc7406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_Toc28099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 *为必填项</w:t>
      </w:r>
      <w:r>
        <w:tab/>
      </w:r>
      <w:r>
        <w:fldChar w:fldCharType="begin"/>
      </w:r>
      <w:r>
        <w:instrText xml:space="preserve"> PAGEREF _Toc28099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_Toc21653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2. </w:t>
      </w:r>
      <w:r>
        <w:rPr>
          <w:rFonts w:hint="eastAsia"/>
          <w:lang w:val="en-US" w:eastAsia="zh-CN"/>
        </w:rPr>
        <w:t>材料上传</w:t>
      </w:r>
      <w:r>
        <w:tab/>
      </w:r>
      <w:r>
        <w:fldChar w:fldCharType="begin"/>
      </w:r>
      <w:r>
        <w:instrText xml:space="preserve"> PAGEREF _Toc21653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end"/>
      </w:r>
      <w:bookmarkStart w:id="10" w:name="_Toc26540"/>
      <w:bookmarkStart w:id="11" w:name="_Toc8398"/>
    </w:p>
    <w:p>
      <w:pPr>
        <w:rPr>
          <w:rFonts w:hint="eastAsia"/>
          <w:lang w:val="en-US" w:eastAsia="zh-CN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720" w:num="1"/>
          <w:docGrid w:type="lines" w:linePitch="312" w:charSpace="0"/>
        </w:sect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sz w:val="36"/>
          <w:szCs w:val="28"/>
          <w:lang w:val="en-US" w:eastAsia="zh-CN"/>
        </w:rPr>
      </w:pPr>
      <w:bookmarkStart w:id="12" w:name="_Toc30801"/>
      <w:bookmarkStart w:id="13" w:name="_Toc6872"/>
      <w:bookmarkStart w:id="14" w:name="_Toc7999"/>
      <w:r>
        <w:rPr>
          <w:rFonts w:hint="eastAsia"/>
          <w:sz w:val="36"/>
          <w:szCs w:val="28"/>
          <w:lang w:val="en-US" w:eastAsia="zh-CN"/>
        </w:rPr>
        <w:t>整体介绍</w:t>
      </w:r>
      <w:bookmarkEnd w:id="10"/>
      <w:bookmarkEnd w:id="11"/>
      <w:bookmarkEnd w:id="12"/>
      <w:bookmarkEnd w:id="13"/>
      <w:bookmarkEnd w:id="14"/>
    </w:p>
    <w:p>
      <w:pPr>
        <w:numPr>
          <w:ilvl w:val="0"/>
          <w:numId w:val="0"/>
        </w:numPr>
        <w:ind w:firstLine="640" w:firstLineChars="20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为进一步提升人才服务工作水平，使我市人才有更高的获得感，根据滨州市人才工作领导小组关于印发《滨州市高层次人才服务绿色通道实施办法》的通知（滨人组发〔2018〕3号）文件精神，为符合条件的人才发放“渤海英才服务卡”</w:t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default"/>
          <w:b/>
          <w:sz w:val="36"/>
          <w:szCs w:val="28"/>
          <w:lang w:val="en-US" w:eastAsia="zh-CN"/>
        </w:rPr>
      </w:pPr>
      <w:bookmarkStart w:id="15" w:name="_Toc10950"/>
      <w:bookmarkStart w:id="16" w:name="_Toc9265"/>
      <w:r>
        <w:rPr>
          <w:rFonts w:hint="eastAsia"/>
          <w:b/>
          <w:sz w:val="36"/>
          <w:szCs w:val="28"/>
          <w:lang w:val="en-US" w:eastAsia="zh-CN"/>
        </w:rPr>
        <w:t>网络环境</w:t>
      </w:r>
      <w:bookmarkEnd w:id="15"/>
      <w:bookmarkEnd w:id="1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渤海英才卡系统使用互联网环境即能正常打开百度等网页。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如果存在系统打不开的情况，请先排查网络是否通畅。</w:t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default"/>
          <w:b/>
          <w:sz w:val="36"/>
          <w:szCs w:val="28"/>
          <w:lang w:val="en-US" w:eastAsia="zh-CN"/>
        </w:rPr>
      </w:pPr>
      <w:bookmarkStart w:id="17" w:name="_Toc26333"/>
      <w:bookmarkStart w:id="18" w:name="_Toc476"/>
      <w:r>
        <w:rPr>
          <w:rFonts w:hint="eastAsia"/>
          <w:b/>
          <w:sz w:val="36"/>
          <w:szCs w:val="28"/>
          <w:lang w:val="en-US" w:eastAsia="zh-CN"/>
        </w:rPr>
        <w:t>浏览器要求</w:t>
      </w:r>
      <w:bookmarkEnd w:id="17"/>
      <w:bookmarkEnd w:id="1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本系统建议使用操作系统自带IE浏览器（Internet Explorer）IE9以上，需要控件的支持，也可以使用360极速浏览器等。</w:t>
      </w:r>
    </w:p>
    <w:p>
      <w:pPr>
        <w:pStyle w:val="4"/>
        <w:numPr>
          <w:ilvl w:val="0"/>
          <w:numId w:val="2"/>
        </w:numPr>
        <w:bidi w:val="0"/>
        <w:outlineLvl w:val="1"/>
        <w:rPr>
          <w:rFonts w:hint="eastAsia"/>
          <w:lang w:val="en-US" w:eastAsia="zh-CN"/>
        </w:rPr>
      </w:pPr>
      <w:bookmarkStart w:id="19" w:name="_Toc25124"/>
      <w:bookmarkStart w:id="20" w:name="_Toc27588"/>
      <w:r>
        <w:rPr>
          <w:rFonts w:hint="eastAsia"/>
          <w:lang w:val="en-US" w:eastAsia="zh-CN"/>
        </w:rPr>
        <w:t>浏览器设置</w:t>
      </w:r>
      <w:bookmarkEnd w:id="19"/>
      <w:bookmarkEnd w:id="20"/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此设置可以不设置，但是如果登录系统出现乱码（例如下图），则必须进行如下设置。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需要经过如下设置：以下设置必须是操作系统自带原始浏览器（</w:t>
      </w:r>
      <w:r>
        <w:drawing>
          <wp:inline distT="0" distB="0" distL="114300" distR="114300">
            <wp:extent cx="695325" cy="8286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），360浏览器QQ浏览器无法设置。</w:t>
      </w:r>
    </w:p>
    <w:p>
      <w:pPr>
        <w:numPr>
          <w:ilvl w:val="1"/>
          <w:numId w:val="2"/>
        </w:numPr>
        <w:outlineLvl w:val="2"/>
        <w:rPr>
          <w:rFonts w:hint="eastAsia"/>
          <w:lang w:val="en-US" w:eastAsia="zh-CN"/>
        </w:rPr>
      </w:pPr>
      <w:bookmarkStart w:id="21" w:name="_Toc15840"/>
      <w:bookmarkStart w:id="22" w:name="_Toc29181"/>
      <w:r>
        <w:rPr>
          <w:rFonts w:hint="eastAsia"/>
          <w:lang w:val="en-US" w:eastAsia="zh-CN"/>
        </w:rPr>
        <w:t>兼容性视图设置</w:t>
      </w:r>
      <w:bookmarkEnd w:id="21"/>
      <w:bookmarkEnd w:id="22"/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打开自带IE浏览器，点击【工具】-【兼容性视图设置】-将系统IP地址点击【添加】-【关闭】即可。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①打开【工具】-【兼容性视图设置】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188075" cy="2944495"/>
            <wp:effectExtent l="0" t="0" r="3175" b="825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530215" cy="2385060"/>
            <wp:effectExtent l="0" t="0" r="13335" b="1524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②将系统IP地址点击【添加】-【关闭】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219575" cy="5638800"/>
            <wp:effectExtent l="0" t="0" r="9525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ind w:left="0" w:leftChars="0" w:firstLine="0" w:firstLineChars="0"/>
        <w:outlineLvl w:val="2"/>
        <w:rPr>
          <w:rFonts w:hint="eastAsia"/>
          <w:lang w:val="en-US" w:eastAsia="zh-CN"/>
        </w:rPr>
      </w:pPr>
      <w:bookmarkStart w:id="23" w:name="_Toc28003"/>
      <w:bookmarkStart w:id="24" w:name="_Toc28022"/>
      <w:r>
        <w:rPr>
          <w:rFonts w:hint="eastAsia"/>
          <w:lang w:val="en-US" w:eastAsia="zh-CN"/>
        </w:rPr>
        <w:t>添加可信任站点</w:t>
      </w:r>
      <w:bookmarkEnd w:id="23"/>
      <w:bookmarkEnd w:id="24"/>
    </w:p>
    <w:p>
      <w:pPr>
        <w:numPr>
          <w:ilvl w:val="0"/>
          <w:numId w:val="0"/>
        </w:numPr>
        <w:ind w:leftChars="0" w:firstLine="32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打开【工具】-【Iternet选项】-【安全】-‘受信任站点-【站点】-’将地址222.134.45.172 点击【添加】-【关闭】即可。</w:t>
      </w:r>
    </w:p>
    <w:p>
      <w:pPr>
        <w:numPr>
          <w:ilvl w:val="0"/>
          <w:numId w:val="0"/>
        </w:numPr>
        <w:ind w:leftChars="0" w:firstLine="32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①打开【工具】-【Iternet选项】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4775200"/>
            <wp:effectExtent l="0" t="0" r="6985" b="635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1427480"/>
            <wp:effectExtent l="0" t="0" r="11430" b="127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320" w:firstLineChars="100"/>
        <w:rPr>
          <w:rFonts w:hint="eastAsia" w:eastAsia="仿宋"/>
          <w:lang w:val="en-US" w:eastAsia="zh-CN"/>
        </w:rPr>
      </w:pPr>
      <w:r>
        <w:rPr>
          <w:rFonts w:hint="eastAsia"/>
          <w:lang w:val="en-US" w:eastAsia="zh-CN"/>
        </w:rPr>
        <w:t>②点击【安全】-‘受信任站点-【站点】-’将系统IP地址点击【添加】-【关闭】即可。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952750" cy="4173855"/>
            <wp:effectExtent l="0" t="0" r="0" b="1714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872230" cy="3339465"/>
            <wp:effectExtent l="0" t="0" r="13970" b="1333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点击【关闭】再点击【确定】【应用】即可。</w:t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default"/>
          <w:b/>
          <w:sz w:val="36"/>
          <w:szCs w:val="28"/>
          <w:lang w:val="en-US" w:eastAsia="zh-CN"/>
        </w:rPr>
      </w:pPr>
      <w:bookmarkStart w:id="25" w:name="_Toc32161"/>
      <w:bookmarkStart w:id="26" w:name="_Toc10702"/>
      <w:r>
        <w:rPr>
          <w:rFonts w:hint="eastAsia"/>
          <w:b/>
          <w:sz w:val="36"/>
          <w:szCs w:val="28"/>
          <w:lang w:val="en-US" w:eastAsia="zh-CN"/>
        </w:rPr>
        <w:t>系统登录地址</w:t>
      </w:r>
      <w:bookmarkEnd w:id="25"/>
      <w:bookmarkEnd w:id="26"/>
    </w:p>
    <w:p>
      <w:pPr>
        <w:rPr>
          <w:rFonts w:hint="eastAsia"/>
          <w:lang w:val="en-US" w:eastAsia="zh-CN"/>
        </w:rPr>
      </w:pPr>
      <w:r>
        <w:rPr>
          <w:rFonts w:hint="eastAsia"/>
          <w:b/>
          <w:sz w:val="36"/>
          <w:szCs w:val="28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>在浏览器输入网址http://rs.binzhou.gov.cn，或者百度‘滨州市人力资源和社会保障局’点击官网，进入滨州市人力资源和社会保障局网站，如下图：</w:t>
      </w:r>
    </w:p>
    <w:p>
      <w:r>
        <w:drawing>
          <wp:inline distT="0" distB="0" distL="114300" distR="114300">
            <wp:extent cx="4230370" cy="1916430"/>
            <wp:effectExtent l="0" t="0" r="17780" b="7620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找到‘人社业务信息查询’，点击【滨州市高层次人才服务】</w:t>
      </w:r>
    </w:p>
    <w:p>
      <w:r>
        <w:drawing>
          <wp:inline distT="0" distB="0" distL="114300" distR="114300">
            <wp:extent cx="5261610" cy="2310765"/>
            <wp:effectExtent l="0" t="0" r="15240" b="13335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点击【渤海英才卡系统】</w:t>
      </w:r>
    </w:p>
    <w:p>
      <w:r>
        <w:drawing>
          <wp:inline distT="0" distB="0" distL="114300" distR="114300">
            <wp:extent cx="5259705" cy="2254250"/>
            <wp:effectExtent l="0" t="0" r="1714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3" w:name="_GoBack"/>
      <w:bookmarkEnd w:id="3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进入平台</w:t>
      </w:r>
    </w:p>
    <w:p>
      <w:r>
        <w:drawing>
          <wp:inline distT="0" distB="0" distL="114300" distR="114300">
            <wp:extent cx="5260340" cy="1459230"/>
            <wp:effectExtent l="0" t="0" r="16510" b="762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选择不同身份的登录入口即可完成登录。</w:t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default"/>
          <w:b/>
          <w:sz w:val="36"/>
          <w:szCs w:val="28"/>
          <w:lang w:val="en-US" w:eastAsia="zh-CN"/>
        </w:rPr>
      </w:pPr>
      <w:bookmarkStart w:id="27" w:name="_Toc10324"/>
      <w:bookmarkStart w:id="28" w:name="_Toc7406"/>
      <w:r>
        <w:rPr>
          <w:rFonts w:hint="eastAsia"/>
          <w:b/>
          <w:sz w:val="36"/>
          <w:szCs w:val="28"/>
          <w:lang w:val="en-US" w:eastAsia="zh-CN"/>
        </w:rPr>
        <w:t>系统常用小技巧</w:t>
      </w:r>
      <w:bookmarkEnd w:id="27"/>
      <w:bookmarkEnd w:id="28"/>
    </w:p>
    <w:p>
      <w:pPr>
        <w:pStyle w:val="4"/>
        <w:numPr>
          <w:ilvl w:val="0"/>
          <w:numId w:val="3"/>
        </w:numPr>
        <w:bidi w:val="0"/>
        <w:outlineLvl w:val="1"/>
        <w:rPr>
          <w:rFonts w:hint="eastAsia"/>
          <w:b/>
          <w:lang w:val="en-US" w:eastAsia="zh-CN"/>
        </w:rPr>
      </w:pPr>
      <w:bookmarkStart w:id="29" w:name="_Toc12683"/>
      <w:bookmarkStart w:id="30" w:name="_Toc28099"/>
      <w:r>
        <w:rPr>
          <w:rFonts w:hint="eastAsia"/>
          <w:b/>
          <w:color w:val="FF0000"/>
          <w:lang w:val="en-US" w:eastAsia="zh-CN"/>
        </w:rPr>
        <w:t>*</w:t>
      </w:r>
      <w:r>
        <w:rPr>
          <w:rFonts w:hint="eastAsia"/>
          <w:b/>
          <w:lang w:val="en-US" w:eastAsia="zh-CN"/>
        </w:rPr>
        <w:t>为必填项</w:t>
      </w:r>
      <w:bookmarkEnd w:id="29"/>
      <w:bookmarkEnd w:id="30"/>
    </w:p>
    <w:p>
      <w:pPr>
        <w:rPr>
          <w:rFonts w:hint="eastAsia"/>
          <w:lang w:val="en-US" w:eastAsia="zh-CN"/>
        </w:rPr>
      </w:pPr>
      <w:r>
        <w:rPr>
          <w:rFonts w:hint="eastAsia"/>
          <w:b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输入框后面带红色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  <w:lang w:val="en-US" w:eastAsia="zh-CN"/>
        </w:rPr>
        <w:t>的为必填项，即必须输入值，不能为空。</w:t>
      </w:r>
    </w:p>
    <w:p>
      <w:r>
        <w:drawing>
          <wp:inline distT="0" distB="0" distL="114300" distR="114300">
            <wp:extent cx="5273675" cy="268605"/>
            <wp:effectExtent l="0" t="0" r="3175" b="1714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bidi w:val="0"/>
        <w:outlineLvl w:val="1"/>
        <w:rPr>
          <w:rFonts w:hint="default"/>
          <w:b/>
          <w:color w:val="auto"/>
          <w:lang w:val="en-US" w:eastAsia="zh-CN"/>
        </w:rPr>
      </w:pPr>
      <w:bookmarkStart w:id="31" w:name="_Toc18177"/>
      <w:bookmarkStart w:id="32" w:name="_Toc21653"/>
      <w:r>
        <w:rPr>
          <w:rFonts w:hint="eastAsia"/>
          <w:b/>
          <w:color w:val="auto"/>
          <w:lang w:val="en-US" w:eastAsia="zh-CN"/>
        </w:rPr>
        <w:t>材料上传</w:t>
      </w:r>
      <w:bookmarkEnd w:id="31"/>
      <w:bookmarkEnd w:id="32"/>
    </w:p>
    <w:p>
      <w:pPr>
        <w:rPr>
          <w:rFonts w:hint="eastAsia"/>
          <w:lang w:val="en-US" w:eastAsia="zh-CN"/>
        </w:rPr>
      </w:pPr>
      <w:r>
        <w:rPr>
          <w:rFonts w:hint="eastAsia"/>
          <w:b/>
          <w:color w:val="auto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系统有上传证明材料或者维护证明材料功能，都可以进行材料的上传。</w:t>
      </w:r>
    </w:p>
    <w:p>
      <w:pPr>
        <w:ind w:firstLine="640" w:firstLineChars="20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点击相应的功能后，点击【上传附件】，选择相应的附件类型（系统中有的都为必须上传的），点击浏览，选择附件所在位置，点击上传即可。</w:t>
      </w:r>
    </w:p>
    <w:p>
      <w:pPr>
        <w:ind w:firstLine="640"/>
      </w:pPr>
      <w:r>
        <w:drawing>
          <wp:inline distT="0" distB="0" distL="114300" distR="114300">
            <wp:extent cx="5270500" cy="3134360"/>
            <wp:effectExtent l="0" t="0" r="6350" b="889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上传成功之后，我们可以进行预览或者下载。</w:t>
      </w:r>
    </w:p>
    <w:p>
      <w:pPr>
        <w:ind w:firstLine="64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1113790"/>
            <wp:effectExtent l="0" t="0" r="4445" b="1016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</w:pPr>
      <w:r>
        <w:drawing>
          <wp:inline distT="0" distB="0" distL="114300" distR="114300">
            <wp:extent cx="5266690" cy="1997710"/>
            <wp:effectExtent l="0" t="0" r="10160" b="254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440" w:right="1800" w:bottom="1440" w:left="180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仿宋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VoWrHrgEAAE0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仿宋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ascii="宋体" w:hAnsi="宋体" w:cs="宋体"/>
        <w:kern w:val="0"/>
        <w:sz w:val="24"/>
      </w:rPr>
      <w:fldChar w:fldCharType="begin"/>
    </w:r>
    <w:r>
      <w:instrText xml:space="preserve"> INCLUDEPICTURE "F:\\UserData\\My Documents\\WeChat Files\\Lc18364971129\\FileStorage\\File\\2020-01\\AppData\\Roaming\\Tencent\\Users\\824895983\\QQ\\WinTemp\\RichOle\\6J%5b2SXXVH9)AY7P6LJ%7bC4Q7.png" \* MERGEFORMAT </w:instrText>
    </w:r>
    <w:r>
      <w:rPr>
        <w:rFonts w:ascii="宋体" w:hAnsi="宋体" w:cs="宋体"/>
        <w:kern w:val="0"/>
        <w:sz w:val="24"/>
      </w:rPr>
      <w:fldChar w:fldCharType="separate"/>
    </w:r>
    <w:r>
      <w:rPr>
        <w:rFonts w:ascii="宋体" w:hAnsi="宋体" w:cs="宋体"/>
        <w:kern w:val="0"/>
        <w:sz w:val="24"/>
      </w:rPr>
      <w:drawing>
        <wp:inline distT="0" distB="0" distL="114300" distR="114300">
          <wp:extent cx="1789430" cy="539115"/>
          <wp:effectExtent l="0" t="0" r="1270" b="13335"/>
          <wp:docPr id="1" name="图片 1" descr="6J[2SXXVH9)AY7P6LJ{C4Q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6J[2SXXVH9)AY7P6LJ{C4Q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43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宋体" w:hAnsi="宋体" w:cs="宋体"/>
        <w:kern w:val="0"/>
        <w:sz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F820F8F"/>
    <w:multiLevelType w:val="singleLevel"/>
    <w:tmpl w:val="DF820F8F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F3259DE2"/>
    <w:multiLevelType w:val="singleLevel"/>
    <w:tmpl w:val="F3259DE2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15E56FB2"/>
    <w:multiLevelType w:val="multilevel"/>
    <w:tmpl w:val="15E56FB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C3219"/>
    <w:rsid w:val="1A3338C2"/>
    <w:rsid w:val="62D30D88"/>
    <w:rsid w:val="7CC0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center"/>
      <w:outlineLvl w:val="0"/>
    </w:pPr>
    <w:rPr>
      <w:rFonts w:ascii="Calibri" w:hAnsi="Calibri" w:eastAsia="黑体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uiPriority w:val="0"/>
    <w:pPr>
      <w:ind w:left="420" w:leftChars="200"/>
    </w:pPr>
  </w:style>
  <w:style w:type="paragraph" w:customStyle="1" w:styleId="1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SUN</dc:creator>
  <cp:lastModifiedBy>小刚</cp:lastModifiedBy>
  <dcterms:modified xsi:type="dcterms:W3CDTF">2020-07-30T08:24:36Z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